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534" w:lineRule="exact" w:before="73"/>
        <w:ind w:right="59"/>
      </w:pPr>
      <w:r>
        <w:rPr/>
        <w:pict>
          <v:group style="position:absolute;margin-left:72pt;margin-top:2.19021pt;width:468pt;height:27.3pt;mso-position-horizontal-relative:page;mso-position-vertical-relative:paragraph;z-index:-251832320" coordorigin="1440,44" coordsize="9360,546">
            <v:line style="position:absolute" from="1444,44" to="1444,590" stroked="true" strokeweight=".4pt" strokecolor="#000000">
              <v:stroke dashstyle="solid"/>
            </v:line>
            <v:line style="position:absolute" from="10796,44" to="10796,590" stroked="true" strokeweight=".4pt" strokecolor="#000000">
              <v:stroke dashstyle="solid"/>
            </v:line>
            <v:line style="position:absolute" from="1440,48" to="10800,48" stroked="true" strokeweight=".4pt" strokecolor="#000000">
              <v:stroke dashstyle="solid"/>
            </v:line>
            <v:line style="position:absolute" from="1440,586" to="10800,586" stroked="true" strokeweight=".4pt" strokecolor="#000000">
              <v:stroke dashstyle="solid"/>
            </v:line>
            <w10:wrap type="none"/>
          </v:group>
        </w:pict>
      </w:r>
      <w:r>
        <w:rPr>
          <w:w w:val="105"/>
        </w:rPr>
        <w:t>CERTIFICATION COMMITTEE REIMBURSEMENT</w:t>
      </w:r>
    </w:p>
    <w:p>
      <w:pPr>
        <w:spacing w:line="500" w:lineRule="exact" w:before="0"/>
        <w:ind w:left="0" w:right="55" w:firstLine="0"/>
        <w:jc w:val="center"/>
        <w:rPr>
          <w:rFonts w:ascii="Lucida Sans Unicode"/>
          <w:sz w:val="36"/>
        </w:rPr>
      </w:pPr>
      <w:r>
        <w:rPr/>
        <w:pict>
          <v:group style="position:absolute;margin-left:74.900002pt;margin-top:4.760644pt;width:35pt;height:35.3pt;mso-position-horizontal-relative:page;mso-position-vertical-relative:paragraph;z-index:251659264" coordorigin="1498,95" coordsize="700,706">
            <v:shape style="position:absolute;left:1756;top:589;width:184;height:46" coordorigin="1756,589" coordsize="184,46" path="m1930,589l1768,589,1768,609,1930,609,1930,589m1940,611l1756,611,1756,635,1940,635,1940,611e" filled="true" fillcolor="#000000" stroked="false">
              <v:path arrowok="t"/>
              <v:fill type="solid"/>
            </v:shape>
            <v:shape style="position:absolute;left:1590;top:229;width:518;height:358" coordorigin="1590,229" coordsize="518,358" path="m1876,539l1820,539,1820,545,1802,561,1800,563,1782,587,1914,587,1910,579,1906,577,1904,573,1902,571,1900,567,1892,559,1876,545,1876,539xm1688,575l1662,575,1668,577,1682,577,1688,575xm2032,575l2004,575,2010,577,2026,577,2032,575xm1702,573l1654,573,1658,575,1698,575,1702,573xm2084,547l1952,547,1954,549,1962,559,1968,561,1972,565,1978,569,1984,571,1988,573,1994,575,2036,575,2042,573,2048,573,2050,571,2054,571,2062,565,2066,563,2072,559,2074,559,2084,547xm1744,547l1612,547,1616,549,1622,559,1634,565,1640,569,1648,573,1708,573,1712,571,1716,571,1722,565,1726,563,1732,559,1736,559,1744,547xm1688,353l1672,353,1678,355,1614,529,1590,529,1590,547,1772,547,1772,541,1770,531,1768,529,1744,527,1742,525,1700,395,1700,391,1688,353xm2108,529l1928,529,1924,533,1924,547,2108,547,2108,529xm1870,353l1828,353,1830,359,1838,367,1826,539,1872,539,1860,407,1858,367,1870,353xm2034,351l2000,351,2006,353,2008,353,1952,529,2084,529,2020,355,2026,353,2034,351xm1696,351l1660,351,1664,353,1692,353,1696,351xm1874,343l1822,343,1822,353,1874,353,1874,343xm1646,325l1642,325,1642,333,1648,339,1648,341,1658,351,1700,351,1704,349,1704,345,1720,337,1680,337,1666,335,1664,335,1654,331,1646,325xm1971,313l1894,313,1910,315,1930,317,1950,325,1952,325,1966,333,1990,345,1996,351,2036,351,2040,349,2044,345,2046,341,2050,337,2030,337,2016,335,2010,335,2004,333,1986,321,1974,315,1971,313xm1862,329l1834,329,1834,335,1828,343,1870,343,1868,339,1862,335,1862,329xm1920,291l1898,291,1880,297,1872,299,1868,303,1742,303,1736,305,1734,307,1728,311,1724,313,1724,315,1722,317,1706,325,1704,327,1700,329,1700,331,1694,333,1690,335,1684,335,1680,337,1720,337,1744,325,1746,325,1764,319,1766,317,1790,313,1971,313,1966,309,1952,303,1948,299,1944,299,1942,297,1938,297,1932,293,1926,293,1920,291xm2056,325l2048,327,2044,329,2038,331,2036,333,2032,335,2030,337,2050,337,2052,333,2054,331,2056,325xm1872,317l1820,317,1832,323,1836,327,1836,329,1860,329,1860,327,1870,319,1872,317xm1878,315l1812,315,1816,317,1876,317,1878,315xm1894,313l1790,313,1804,315,1892,315,1894,313xm1802,291l1778,291,1772,293,1770,293,1766,295,1758,297,1754,299,1752,299,1750,301,1746,303,1832,303,1828,299,1820,297,1802,291xm1846,229l1844,235,1838,247,1836,255,1836,267,1842,279,1838,299,1838,301,1836,303,1860,303,1858,301,1858,299,1856,293,1854,289,1856,279,1860,269,1860,253,1858,247,1854,239,1850,233,1846,229xe" filled="true" fillcolor="#000000" stroked="false">
              <v:path arrowok="t"/>
              <v:fill type="solid"/>
            </v:shape>
            <v:shape style="position:absolute;left:1498;top:95;width:700;height:706" type="#_x0000_t75" stroked="false">
              <v:imagedata r:id="rId5" o:title=""/>
            </v:shape>
            <w10:wrap type="none"/>
          </v:group>
        </w:pict>
      </w:r>
      <w:r>
        <w:rPr>
          <w:rFonts w:ascii="Lucida Sans Unicode"/>
          <w:w w:val="105"/>
          <w:sz w:val="36"/>
        </w:rPr>
        <w:t>The Florida Bar</w:t>
      </w:r>
    </w:p>
    <w:p>
      <w:pPr>
        <w:spacing w:line="487" w:lineRule="exact" w:before="0"/>
        <w:ind w:left="0" w:right="158" w:firstLine="0"/>
        <w:jc w:val="center"/>
        <w:rPr>
          <w:rFonts w:ascii="Lucida Sans Unicode"/>
          <w:sz w:val="36"/>
        </w:rPr>
      </w:pPr>
      <w:r>
        <w:rPr/>
        <w:pict>
          <v:shape style="position:absolute;margin-left:75pt;margin-top:18.860645pt;width:34.7pt;height:.4pt;mso-position-horizontal-relative:page;mso-position-vertical-relative:paragraph;z-index:251660288" coordorigin="1500,377" coordsize="694,8" path="m1546,379l1500,379,1500,385,1546,385,1546,379xm1564,379l1552,379,1552,385,1564,385,1564,379xm1596,379l1586,379,1586,385,1596,385,1596,379xm1648,379l1608,379,1608,385,1648,385,1648,379xm1720,379l1680,379,1680,385,1720,385,1720,379xm1738,379l1728,379,1728,385,1738,385,1738,379xm1810,379l1788,379,1786,381,1782,383,1780,385,1816,385,1810,379xm1802,377l1796,377,1792,379,1804,379,1802,377xm1866,379l1834,379,1834,385,1874,385,1872,383,1872,381,1868,381,1866,379xm1900,379l1888,379,1888,385,1900,385,1900,379xm1940,379l1910,379,1910,385,1950,385,1948,383,1946,383,1944,381,1942,381,1940,379xm1994,379l1982,379,1980,385,1996,385,1994,379xm2074,379l2042,379,2042,385,2082,385,2080,383,2080,381,2076,381,2074,379xm2126,379l2114,379,2112,385,2128,385,2126,379xm2186,379l2154,379,2154,385,2194,385,2190,381,2188,381,2186,379xe" filled="true" fillcolor="#000000" stroked="false">
            <v:path arrowok="t"/>
            <v:fill type="solid"/>
            <w10:wrap type="none"/>
          </v:shape>
        </w:pict>
      </w:r>
      <w:r>
        <w:rPr>
          <w:rFonts w:ascii="Lucida Sans Unicode"/>
          <w:w w:val="105"/>
          <w:sz w:val="36"/>
        </w:rPr>
        <w:t>Labor and Employment Law</w:t>
      </w:r>
      <w:r>
        <w:rPr>
          <w:rFonts w:ascii="Lucida Sans Unicode"/>
          <w:spacing w:val="-61"/>
          <w:w w:val="105"/>
          <w:sz w:val="36"/>
        </w:rPr>
        <w:t> </w:t>
      </w:r>
      <w:r>
        <w:rPr>
          <w:rFonts w:ascii="Lucida Sans Unicode"/>
          <w:w w:val="105"/>
          <w:sz w:val="36"/>
        </w:rPr>
        <w:t>Section</w:t>
      </w:r>
    </w:p>
    <w:p>
      <w:pPr>
        <w:pStyle w:val="Heading2"/>
        <w:tabs>
          <w:tab w:pos="6576" w:val="left" w:leader="none"/>
          <w:tab w:pos="9456" w:val="left" w:leader="none"/>
        </w:tabs>
        <w:spacing w:line="244" w:lineRule="exact"/>
      </w:pPr>
      <w:r>
        <w:rPr/>
        <w:t>Name</w:t>
      </w:r>
      <w:r>
        <w:rPr>
          <w:u w:val="single"/>
        </w:rPr>
        <w:t> </w:t>
        <w:tab/>
      </w:r>
      <w:r>
        <w:rPr/>
        <w:t>Atty.</w:t>
      </w:r>
      <w:r>
        <w:rPr>
          <w:spacing w:val="-8"/>
        </w:rPr>
        <w:t> </w:t>
      </w:r>
      <w:r>
        <w:rPr/>
        <w:t>#</w:t>
      </w:r>
      <w:r>
        <w:rPr>
          <w:u w:val="single"/>
        </w:rPr>
        <w:t> </w:t>
        <w:tab/>
      </w:r>
    </w:p>
    <w:p>
      <w:pPr>
        <w:tabs>
          <w:tab w:pos="9437" w:val="left" w:leader="none"/>
          <w:tab w:pos="9468" w:val="left" w:leader="none"/>
        </w:tabs>
        <w:spacing w:line="369" w:lineRule="auto" w:before="150"/>
        <w:ind w:left="161" w:right="260" w:firstLine="0"/>
        <w:jc w:val="both"/>
        <w:rPr>
          <w:sz w:val="24"/>
        </w:rPr>
      </w:pPr>
      <w:r>
        <w:rPr>
          <w:sz w:val="24"/>
        </w:rPr>
        <w:t>Firm:</w:t>
      </w:r>
      <w:r>
        <w:rPr>
          <w:sz w:val="24"/>
          <w:u w:val="single"/>
        </w:rPr>
        <w:tab/>
        <w:tab/>
      </w:r>
      <w:r>
        <w:rPr>
          <w:sz w:val="24"/>
        </w:rPr>
        <w:t> Address:</w:t>
      </w:r>
      <w:r>
        <w:rPr>
          <w:sz w:val="24"/>
          <w:u w:val="single"/>
        </w:rPr>
        <w:tab/>
        <w:tab/>
      </w:r>
      <w:r>
        <w:rPr>
          <w:sz w:val="24"/>
        </w:rPr>
        <w:t> City/State/Zip:</w:t>
      </w:r>
      <w:r>
        <w:rPr>
          <w:sz w:val="24"/>
          <w:u w:val="single"/>
        </w:rPr>
        <w:tab/>
        <w:tab/>
      </w:r>
      <w:r>
        <w:rPr>
          <w:sz w:val="24"/>
        </w:rPr>
        <w:t> Date</w:t>
      </w:r>
      <w:r>
        <w:rPr>
          <w:spacing w:val="-5"/>
          <w:sz w:val="24"/>
        </w:rPr>
        <w:t> </w:t>
      </w:r>
      <w:r>
        <w:rPr>
          <w:sz w:val="24"/>
        </w:rPr>
        <w:t>of</w:t>
      </w:r>
      <w:r>
        <w:rPr>
          <w:spacing w:val="-4"/>
          <w:sz w:val="24"/>
        </w:rPr>
        <w:t> </w:t>
      </w:r>
      <w:r>
        <w:rPr>
          <w:sz w:val="24"/>
        </w:rPr>
        <w:t>Travel: </w:t>
      </w:r>
      <w:r>
        <w:rPr>
          <w:spacing w:val="1"/>
          <w:sz w:val="24"/>
        </w:rPr>
        <w:t> </w:t>
      </w:r>
      <w:r>
        <w:rPr>
          <w:sz w:val="24"/>
          <w:u w:val="single"/>
        </w:rPr>
        <w:t> </w:t>
        <w:tab/>
        <w:tab/>
      </w:r>
      <w:r>
        <w:rPr>
          <w:sz w:val="24"/>
        </w:rPr>
        <w:t> Purpose of</w:t>
      </w:r>
      <w:r>
        <w:rPr>
          <w:spacing w:val="-7"/>
          <w:sz w:val="24"/>
        </w:rPr>
        <w:t> </w:t>
      </w:r>
      <w:r>
        <w:rPr>
          <w:sz w:val="24"/>
        </w:rPr>
        <w:t>Travel: </w:t>
      </w:r>
      <w:r>
        <w:rPr>
          <w:spacing w:val="1"/>
          <w:sz w:val="24"/>
        </w:rPr>
        <w:t> </w:t>
      </w:r>
      <w:r>
        <w:rPr>
          <w:sz w:val="24"/>
          <w:u w:val="single"/>
        </w:rPr>
        <w:t> </w:t>
        <w:tab/>
      </w:r>
      <w:r>
        <w:rPr>
          <w:w w:val="5"/>
          <w:sz w:val="24"/>
          <w:u w:val="single"/>
        </w:rPr>
        <w:t> </w:t>
      </w:r>
    </w:p>
    <w:p>
      <w:pPr>
        <w:spacing w:before="9"/>
        <w:ind w:left="0" w:right="57" w:firstLine="0"/>
        <w:jc w:val="center"/>
        <w:rPr>
          <w:b/>
          <w:sz w:val="24"/>
        </w:rPr>
      </w:pPr>
      <w:r>
        <w:rPr>
          <w:b/>
          <w:sz w:val="24"/>
          <w:u w:val="single"/>
        </w:rPr>
        <w:t>TRAVEL EXPENSES</w:t>
      </w:r>
    </w:p>
    <w:p>
      <w:pPr>
        <w:spacing w:before="6"/>
        <w:ind w:left="0" w:right="80" w:firstLine="0"/>
        <w:jc w:val="center"/>
        <w:rPr>
          <w:rFonts w:ascii="Arial"/>
          <w:b/>
          <w:i/>
          <w:sz w:val="22"/>
        </w:rPr>
      </w:pPr>
      <w:r>
        <w:rPr>
          <w:rFonts w:ascii="Arial"/>
          <w:b/>
          <w:i/>
          <w:sz w:val="22"/>
        </w:rPr>
        <w:t>Any AMOUNT $25.00 AND OVER requires a receipt.</w:t>
      </w:r>
    </w:p>
    <w:p>
      <w:pPr>
        <w:spacing w:before="197"/>
        <w:ind w:left="161" w:right="0" w:firstLine="0"/>
        <w:jc w:val="left"/>
        <w:rPr>
          <w:rFonts w:ascii="Arial"/>
          <w:b/>
          <w:sz w:val="22"/>
        </w:rPr>
      </w:pPr>
      <w:r>
        <w:rPr>
          <w:rFonts w:ascii="Arial"/>
          <w:b/>
          <w:sz w:val="22"/>
        </w:rPr>
        <w:t>TRANSPORTATION:</w:t>
      </w:r>
    </w:p>
    <w:p>
      <w:pPr>
        <w:pStyle w:val="Heading3"/>
        <w:tabs>
          <w:tab w:pos="1644" w:val="left" w:leader="none"/>
          <w:tab w:pos="8081" w:val="left" w:leader="none"/>
          <w:tab w:pos="9569" w:val="left" w:leader="none"/>
        </w:tabs>
        <w:spacing w:before="65"/>
        <w:rPr>
          <w:rFonts w:ascii="Times New Roman"/>
        </w:rPr>
      </w:pPr>
      <w:r>
        <w:rPr/>
        <w:t>Air:</w:t>
      </w:r>
      <w:r>
        <w:rPr>
          <w:u w:val="single"/>
        </w:rPr>
        <w:t> </w:t>
        <w:tab/>
      </w:r>
      <w:r>
        <w:rPr/>
        <w:t>airlines (coach, 21-day</w:t>
      </w:r>
      <w:r>
        <w:rPr>
          <w:spacing w:val="-4"/>
        </w:rPr>
        <w:t> </w:t>
      </w:r>
      <w:r>
        <w:rPr/>
        <w:t>advance</w:t>
      </w:r>
      <w:r>
        <w:rPr>
          <w:spacing w:val="-3"/>
        </w:rPr>
        <w:t> </w:t>
      </w:r>
      <w:r>
        <w:rPr/>
        <w:t>purchase)</w:t>
        <w:tab/>
      </w:r>
      <w:r>
        <w:rPr>
          <w:spacing w:val="-3"/>
        </w:rPr>
        <w:t>$</w:t>
      </w:r>
      <w:r>
        <w:rPr>
          <w:rFonts w:ascii="Times New Roman"/>
          <w:u w:val="single"/>
        </w:rPr>
        <w:t> </w:t>
        <w:tab/>
      </w:r>
    </w:p>
    <w:p>
      <w:pPr>
        <w:spacing w:before="64"/>
        <w:ind w:left="271" w:right="0" w:firstLine="0"/>
        <w:jc w:val="both"/>
        <w:rPr>
          <w:i/>
          <w:sz w:val="22"/>
        </w:rPr>
      </w:pPr>
      <w:r>
        <w:rPr>
          <w:i/>
          <w:sz w:val="22"/>
        </w:rPr>
        <w:t>(Airline receipt required—</w:t>
      </w:r>
      <w:r>
        <w:rPr>
          <w:b/>
          <w:i/>
          <w:sz w:val="22"/>
        </w:rPr>
        <w:t>Proof of 21-day purchase is required</w:t>
      </w:r>
      <w:r>
        <w:rPr>
          <w:i/>
          <w:sz w:val="22"/>
        </w:rPr>
        <w:t>)</w:t>
      </w:r>
    </w:p>
    <w:p>
      <w:pPr>
        <w:pStyle w:val="Heading3"/>
        <w:tabs>
          <w:tab w:pos="2968" w:val="left" w:leader="none"/>
          <w:tab w:pos="8081" w:val="left" w:leader="none"/>
          <w:tab w:pos="9569" w:val="left" w:leader="none"/>
        </w:tabs>
        <w:spacing w:before="66"/>
        <w:rPr>
          <w:rFonts w:ascii="Times New Roman" w:hAnsi="Times New Roman"/>
        </w:rPr>
      </w:pPr>
      <w:r>
        <w:rPr/>
        <w:t>Personal Car:</w:t>
      </w:r>
      <w:r>
        <w:rPr>
          <w:u w:val="single"/>
        </w:rPr>
        <w:t> </w:t>
        <w:tab/>
      </w:r>
      <w:r>
        <w:rPr/>
        <w:t>miles at .535¢</w:t>
      </w:r>
      <w:r>
        <w:rPr>
          <w:spacing w:val="2"/>
        </w:rPr>
        <w:t> </w:t>
      </w:r>
      <w:r>
        <w:rPr/>
        <w:t>per</w:t>
      </w:r>
      <w:r>
        <w:rPr>
          <w:spacing w:val="1"/>
        </w:rPr>
        <w:t> </w:t>
      </w:r>
      <w:r>
        <w:rPr/>
        <w:t>mile</w:t>
        <w:tab/>
      </w:r>
      <w:r>
        <w:rPr>
          <w:spacing w:val="-3"/>
        </w:rPr>
        <w:t>$</w:t>
      </w:r>
      <w:r>
        <w:rPr>
          <w:rFonts w:ascii="Times New Roman" w:hAnsi="Times New Roman"/>
          <w:u w:val="single"/>
        </w:rPr>
        <w:t> </w:t>
        <w:tab/>
      </w:r>
    </w:p>
    <w:p>
      <w:pPr>
        <w:tabs>
          <w:tab w:pos="2856" w:val="left" w:leader="none"/>
          <w:tab w:pos="5348" w:val="left" w:leader="none"/>
          <w:tab w:pos="8081" w:val="left" w:leader="none"/>
          <w:tab w:pos="9569" w:val="left" w:leader="none"/>
        </w:tabs>
        <w:spacing w:before="61"/>
        <w:ind w:left="161" w:right="0" w:firstLine="0"/>
        <w:jc w:val="left"/>
        <w:rPr>
          <w:sz w:val="22"/>
        </w:rPr>
      </w:pPr>
      <w:r>
        <w:rPr>
          <w:rFonts w:ascii="Arial"/>
          <w:sz w:val="22"/>
        </w:rPr>
        <w:t>Car Rental:</w:t>
      </w:r>
      <w:r>
        <w:rPr>
          <w:rFonts w:ascii="Arial"/>
          <w:sz w:val="22"/>
          <w:u w:val="single"/>
        </w:rPr>
        <w:t> </w:t>
        <w:tab/>
      </w:r>
      <w:r>
        <w:rPr>
          <w:rFonts w:ascii="Arial"/>
          <w:sz w:val="22"/>
        </w:rPr>
        <w:t>company (#</w:t>
      </w:r>
      <w:r>
        <w:rPr>
          <w:rFonts w:ascii="Arial"/>
          <w:spacing w:val="-3"/>
          <w:sz w:val="22"/>
        </w:rPr>
        <w:t> </w:t>
      </w:r>
      <w:r>
        <w:rPr>
          <w:rFonts w:ascii="Arial"/>
          <w:sz w:val="22"/>
        </w:rPr>
        <w:t>of</w:t>
      </w:r>
      <w:r>
        <w:rPr>
          <w:rFonts w:ascii="Arial"/>
          <w:spacing w:val="3"/>
          <w:sz w:val="22"/>
        </w:rPr>
        <w:t> </w:t>
      </w:r>
      <w:r>
        <w:rPr>
          <w:rFonts w:ascii="Arial"/>
          <w:sz w:val="22"/>
        </w:rPr>
        <w:t>days</w:t>
      </w:r>
      <w:r>
        <w:rPr>
          <w:rFonts w:ascii="Arial"/>
          <w:sz w:val="22"/>
          <w:u w:val="single"/>
        </w:rPr>
        <w:t> </w:t>
        <w:tab/>
      </w:r>
      <w:r>
        <w:rPr>
          <w:rFonts w:ascii="Arial"/>
          <w:sz w:val="22"/>
        </w:rPr>
        <w:t>)</w:t>
        <w:tab/>
      </w:r>
      <w:r>
        <w:rPr>
          <w:rFonts w:ascii="Arial"/>
          <w:spacing w:val="-3"/>
          <w:sz w:val="22"/>
        </w:rPr>
        <w:t>$</w:t>
      </w:r>
      <w:r>
        <w:rPr>
          <w:sz w:val="22"/>
          <w:u w:val="single"/>
        </w:rPr>
        <w:t> </w:t>
        <w:tab/>
      </w:r>
    </w:p>
    <w:p>
      <w:pPr>
        <w:spacing w:before="2"/>
        <w:ind w:left="271" w:right="0" w:firstLine="0"/>
        <w:jc w:val="both"/>
        <w:rPr>
          <w:i/>
          <w:sz w:val="22"/>
        </w:rPr>
      </w:pPr>
      <w:r>
        <w:rPr>
          <w:i/>
          <w:sz w:val="22"/>
        </w:rPr>
        <w:t>(Original Car Rental Agreement &amp; Receipt required)</w:t>
      </w:r>
    </w:p>
    <w:p>
      <w:pPr>
        <w:pStyle w:val="BodyText"/>
        <w:rPr>
          <w:i/>
          <w:sz w:val="24"/>
        </w:rPr>
      </w:pPr>
    </w:p>
    <w:p>
      <w:pPr>
        <w:tabs>
          <w:tab w:pos="2906" w:val="left" w:leader="none"/>
        </w:tabs>
        <w:spacing w:before="0"/>
        <w:ind w:left="161" w:right="0" w:firstLine="0"/>
        <w:jc w:val="left"/>
        <w:rPr>
          <w:rFonts w:ascii="Arial"/>
          <w:i/>
          <w:sz w:val="22"/>
        </w:rPr>
      </w:pPr>
      <w:r>
        <w:rPr>
          <w:rFonts w:ascii="Arial"/>
          <w:b/>
          <w:sz w:val="22"/>
        </w:rPr>
        <w:t>FOOD EXPENSES:</w:t>
      </w:r>
      <w:r>
        <w:rPr>
          <w:rFonts w:ascii="Arial"/>
          <w:b/>
          <w:sz w:val="22"/>
          <w:u w:val="single"/>
        </w:rPr>
        <w:t> </w:t>
        <w:tab/>
      </w:r>
      <w:r>
        <w:rPr>
          <w:rFonts w:ascii="Arial"/>
          <w:sz w:val="22"/>
        </w:rPr>
        <w:t>days (</w:t>
      </w:r>
      <w:r>
        <w:rPr>
          <w:rFonts w:ascii="Arial"/>
          <w:i/>
          <w:sz w:val="22"/>
        </w:rPr>
        <w:t>Not to exceed $50 a</w:t>
      </w:r>
      <w:r>
        <w:rPr>
          <w:rFonts w:ascii="Arial"/>
          <w:i/>
          <w:spacing w:val="11"/>
          <w:sz w:val="22"/>
        </w:rPr>
        <w:t> </w:t>
      </w:r>
      <w:r>
        <w:rPr>
          <w:rFonts w:ascii="Arial"/>
          <w:i/>
          <w:sz w:val="22"/>
        </w:rPr>
        <w:t>day)</w:t>
      </w:r>
    </w:p>
    <w:p>
      <w:pPr>
        <w:pStyle w:val="Heading3"/>
        <w:tabs>
          <w:tab w:pos="8081" w:val="left" w:leader="none"/>
          <w:tab w:pos="9569" w:val="left" w:leader="none"/>
        </w:tabs>
        <w:spacing w:before="5"/>
        <w:rPr>
          <w:rFonts w:ascii="Times New Roman"/>
        </w:rPr>
      </w:pPr>
      <w:r>
        <w:rPr/>
        <w:t>Please</w:t>
      </w:r>
      <w:r>
        <w:rPr>
          <w:spacing w:val="-2"/>
        </w:rPr>
        <w:t> </w:t>
      </w:r>
      <w:r>
        <w:rPr/>
        <w:t>provide</w:t>
      </w:r>
      <w:r>
        <w:rPr>
          <w:spacing w:val="-2"/>
        </w:rPr>
        <w:t> </w:t>
      </w:r>
      <w:r>
        <w:rPr/>
        <w:t>breakdown:</w:t>
        <w:tab/>
      </w:r>
      <w:r>
        <w:rPr>
          <w:spacing w:val="-3"/>
        </w:rPr>
        <w:t>$</w:t>
      </w:r>
      <w:r>
        <w:rPr>
          <w:rFonts w:ascii="Times New Roman"/>
          <w:u w:val="single"/>
        </w:rPr>
        <w:t> </w:t>
        <w:tab/>
      </w:r>
    </w:p>
    <w:p>
      <w:pPr>
        <w:tabs>
          <w:tab w:pos="3945" w:val="left" w:leader="none"/>
          <w:tab w:pos="5319" w:val="left" w:leader="none"/>
          <w:tab w:pos="5401" w:val="left" w:leader="none"/>
        </w:tabs>
        <w:spacing w:before="1"/>
        <w:ind w:left="161" w:right="4321" w:firstLine="0"/>
        <w:jc w:val="left"/>
        <w:rPr>
          <w:sz w:val="22"/>
        </w:rPr>
      </w:pPr>
      <w:r>
        <w:rPr>
          <w:rFonts w:ascii="Arial"/>
          <w:sz w:val="22"/>
        </w:rPr>
        <w:t>Breakfast (not to exceed $12 per day)</w:t>
      </w:r>
      <w:r>
        <w:rPr>
          <w:rFonts w:ascii="Arial"/>
          <w:spacing w:val="3"/>
          <w:sz w:val="22"/>
        </w:rPr>
        <w:t> </w:t>
      </w:r>
      <w:r>
        <w:rPr>
          <w:rFonts w:ascii="Arial"/>
          <w:sz w:val="22"/>
        </w:rPr>
        <w:t>$</w:t>
      </w:r>
      <w:r>
        <w:rPr>
          <w:sz w:val="22"/>
          <w:u w:val="single"/>
        </w:rPr>
        <w:t> </w:t>
        <w:tab/>
      </w:r>
      <w:r>
        <w:rPr>
          <w:sz w:val="22"/>
        </w:rPr>
        <w:t> </w:t>
      </w:r>
      <w:r>
        <w:rPr>
          <w:rFonts w:ascii="Arial"/>
          <w:sz w:val="22"/>
        </w:rPr>
        <w:t>Lunch (not to exceed $14</w:t>
      </w:r>
      <w:r>
        <w:rPr>
          <w:rFonts w:ascii="Arial"/>
          <w:spacing w:val="-2"/>
          <w:sz w:val="22"/>
        </w:rPr>
        <w:t> </w:t>
      </w:r>
      <w:r>
        <w:rPr>
          <w:rFonts w:ascii="Arial"/>
          <w:sz w:val="22"/>
        </w:rPr>
        <w:t>per</w:t>
      </w:r>
      <w:r>
        <w:rPr>
          <w:rFonts w:ascii="Arial"/>
          <w:spacing w:val="1"/>
          <w:sz w:val="22"/>
        </w:rPr>
        <w:t> </w:t>
      </w:r>
      <w:r>
        <w:rPr>
          <w:rFonts w:ascii="Arial"/>
          <w:sz w:val="22"/>
        </w:rPr>
        <w:t>day)</w:t>
        <w:tab/>
        <w:t>$</w:t>
      </w:r>
      <w:r>
        <w:rPr>
          <w:rFonts w:ascii="Arial"/>
          <w:sz w:val="22"/>
          <w:u w:val="single"/>
        </w:rPr>
        <w:tab/>
        <w:tab/>
      </w:r>
      <w:r>
        <w:rPr>
          <w:rFonts w:ascii="Arial"/>
          <w:sz w:val="22"/>
        </w:rPr>
        <w:t> Dinner (not to exceed $24</w:t>
      </w:r>
      <w:r>
        <w:rPr>
          <w:rFonts w:ascii="Arial"/>
          <w:spacing w:val="-2"/>
          <w:sz w:val="22"/>
        </w:rPr>
        <w:t> </w:t>
      </w:r>
      <w:r>
        <w:rPr>
          <w:rFonts w:ascii="Arial"/>
          <w:sz w:val="22"/>
        </w:rPr>
        <w:t>per day)</w:t>
        <w:tab/>
        <w:t>$ </w:t>
      </w:r>
      <w:r>
        <w:rPr>
          <w:sz w:val="22"/>
          <w:u w:val="single"/>
        </w:rPr>
        <w:t> </w:t>
        <w:tab/>
        <w:tab/>
      </w:r>
    </w:p>
    <w:p>
      <w:pPr>
        <w:pStyle w:val="BodyText"/>
        <w:spacing w:before="4"/>
        <w:rPr>
          <w:sz w:val="24"/>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71"/>
        <w:gridCol w:w="1637"/>
      </w:tblGrid>
      <w:tr>
        <w:trPr>
          <w:trHeight w:val="251" w:hRule="atLeast"/>
        </w:trPr>
        <w:tc>
          <w:tcPr>
            <w:tcW w:w="7871" w:type="dxa"/>
          </w:tcPr>
          <w:p>
            <w:pPr>
              <w:pStyle w:val="TableParagraph"/>
              <w:spacing w:line="232" w:lineRule="exact"/>
              <w:ind w:left="50"/>
              <w:rPr>
                <w:b/>
                <w:sz w:val="22"/>
              </w:rPr>
            </w:pPr>
            <w:r>
              <w:rPr>
                <w:b/>
                <w:sz w:val="22"/>
              </w:rPr>
              <w:t>OTHER EXPENSES</w:t>
            </w:r>
          </w:p>
        </w:tc>
        <w:tc>
          <w:tcPr>
            <w:tcW w:w="1637" w:type="dxa"/>
          </w:tcPr>
          <w:p>
            <w:pPr>
              <w:pStyle w:val="TableParagraph"/>
              <w:spacing w:line="240" w:lineRule="auto"/>
              <w:rPr>
                <w:rFonts w:ascii="Times New Roman"/>
                <w:sz w:val="18"/>
              </w:rPr>
            </w:pPr>
          </w:p>
        </w:tc>
      </w:tr>
      <w:tr>
        <w:trPr>
          <w:trHeight w:val="259" w:hRule="atLeast"/>
        </w:trPr>
        <w:tc>
          <w:tcPr>
            <w:tcW w:w="7871" w:type="dxa"/>
          </w:tcPr>
          <w:p>
            <w:pPr>
              <w:pStyle w:val="TableParagraph"/>
              <w:spacing w:line="239" w:lineRule="exact"/>
              <w:ind w:left="50"/>
              <w:rPr>
                <w:sz w:val="22"/>
              </w:rPr>
            </w:pPr>
            <w:r>
              <w:rPr>
                <w:sz w:val="22"/>
              </w:rPr>
              <w:t>Hotel (Room and tax only, group rate or lowest rate available)</w:t>
            </w:r>
          </w:p>
        </w:tc>
        <w:tc>
          <w:tcPr>
            <w:tcW w:w="1637" w:type="dxa"/>
          </w:tcPr>
          <w:p>
            <w:pPr>
              <w:pStyle w:val="TableParagraph"/>
              <w:tabs>
                <w:tab w:pos="1487" w:val="left" w:leader="none"/>
              </w:tabs>
              <w:spacing w:line="239" w:lineRule="exact"/>
              <w:ind w:right="49"/>
              <w:jc w:val="right"/>
              <w:rPr>
                <w:rFonts w:ascii="Times New Roman"/>
                <w:sz w:val="22"/>
              </w:rPr>
            </w:pPr>
            <w:r>
              <w:rPr>
                <w:spacing w:val="-3"/>
                <w:sz w:val="22"/>
              </w:rPr>
              <w:t>$</w:t>
            </w:r>
            <w:r>
              <w:rPr>
                <w:rFonts w:ascii="Times New Roman"/>
                <w:sz w:val="22"/>
                <w:u w:val="single"/>
              </w:rPr>
              <w:t> </w:t>
              <w:tab/>
            </w:r>
          </w:p>
        </w:tc>
      </w:tr>
      <w:tr>
        <w:trPr>
          <w:trHeight w:val="256" w:hRule="atLeast"/>
        </w:trPr>
        <w:tc>
          <w:tcPr>
            <w:tcW w:w="7871" w:type="dxa"/>
          </w:tcPr>
          <w:p>
            <w:pPr>
              <w:pStyle w:val="TableParagraph"/>
              <w:spacing w:line="236" w:lineRule="exact"/>
              <w:ind w:left="159"/>
              <w:rPr>
                <w:rFonts w:ascii="Times New Roman"/>
                <w:i/>
                <w:sz w:val="22"/>
              </w:rPr>
            </w:pPr>
            <w:r>
              <w:rPr>
                <w:rFonts w:ascii="Times New Roman"/>
                <w:i/>
                <w:sz w:val="22"/>
              </w:rPr>
              <w:t>(Room and tax only. Hotel receipt required--</w:t>
            </w:r>
            <w:r>
              <w:rPr>
                <w:rFonts w:ascii="Times New Roman"/>
                <w:b/>
                <w:i/>
                <w:sz w:val="22"/>
              </w:rPr>
              <w:t>not </w:t>
            </w:r>
            <w:r>
              <w:rPr>
                <w:rFonts w:ascii="Times New Roman"/>
                <w:i/>
                <w:sz w:val="22"/>
              </w:rPr>
              <w:t>credit card slip.)</w:t>
            </w:r>
          </w:p>
        </w:tc>
        <w:tc>
          <w:tcPr>
            <w:tcW w:w="1637" w:type="dxa"/>
          </w:tcPr>
          <w:p>
            <w:pPr>
              <w:pStyle w:val="TableParagraph"/>
              <w:spacing w:line="240" w:lineRule="auto"/>
              <w:rPr>
                <w:rFonts w:ascii="Times New Roman"/>
                <w:sz w:val="18"/>
              </w:rPr>
            </w:pPr>
          </w:p>
        </w:tc>
      </w:tr>
      <w:tr>
        <w:trPr>
          <w:trHeight w:val="257" w:hRule="atLeast"/>
        </w:trPr>
        <w:tc>
          <w:tcPr>
            <w:tcW w:w="7871" w:type="dxa"/>
          </w:tcPr>
          <w:p>
            <w:pPr>
              <w:pStyle w:val="TableParagraph"/>
              <w:spacing w:line="237" w:lineRule="exact"/>
              <w:ind w:left="50"/>
              <w:rPr>
                <w:sz w:val="22"/>
              </w:rPr>
            </w:pPr>
            <w:r>
              <w:rPr>
                <w:sz w:val="22"/>
              </w:rPr>
              <w:t>Taxi</w:t>
            </w:r>
          </w:p>
        </w:tc>
        <w:tc>
          <w:tcPr>
            <w:tcW w:w="1637" w:type="dxa"/>
          </w:tcPr>
          <w:p>
            <w:pPr>
              <w:pStyle w:val="TableParagraph"/>
              <w:tabs>
                <w:tab w:pos="1487" w:val="left" w:leader="none"/>
              </w:tabs>
              <w:spacing w:line="237" w:lineRule="exact"/>
              <w:ind w:right="49"/>
              <w:jc w:val="right"/>
              <w:rPr>
                <w:rFonts w:ascii="Times New Roman"/>
                <w:sz w:val="22"/>
              </w:rPr>
            </w:pPr>
            <w:r>
              <w:rPr>
                <w:spacing w:val="-3"/>
                <w:sz w:val="22"/>
              </w:rPr>
              <w:t>$</w:t>
            </w:r>
            <w:r>
              <w:rPr>
                <w:rFonts w:ascii="Times New Roman"/>
                <w:sz w:val="22"/>
                <w:u w:val="single"/>
              </w:rPr>
              <w:t> </w:t>
              <w:tab/>
            </w:r>
          </w:p>
        </w:tc>
      </w:tr>
      <w:tr>
        <w:trPr>
          <w:trHeight w:val="253" w:hRule="atLeast"/>
        </w:trPr>
        <w:tc>
          <w:tcPr>
            <w:tcW w:w="7871" w:type="dxa"/>
          </w:tcPr>
          <w:p>
            <w:pPr>
              <w:pStyle w:val="TableParagraph"/>
              <w:ind w:left="50"/>
              <w:rPr>
                <w:sz w:val="22"/>
              </w:rPr>
            </w:pPr>
            <w:r>
              <w:rPr>
                <w:sz w:val="22"/>
              </w:rPr>
              <w:t>Tolls</w:t>
            </w:r>
          </w:p>
        </w:tc>
        <w:tc>
          <w:tcPr>
            <w:tcW w:w="1637" w:type="dxa"/>
          </w:tcPr>
          <w:p>
            <w:pPr>
              <w:pStyle w:val="TableParagraph"/>
              <w:tabs>
                <w:tab w:pos="1487" w:val="left" w:leader="none"/>
              </w:tabs>
              <w:ind w:right="49"/>
              <w:jc w:val="right"/>
              <w:rPr>
                <w:rFonts w:ascii="Times New Roman"/>
                <w:sz w:val="22"/>
              </w:rPr>
            </w:pPr>
            <w:r>
              <w:rPr>
                <w:spacing w:val="-3"/>
                <w:sz w:val="22"/>
              </w:rPr>
              <w:t>$</w:t>
            </w:r>
            <w:r>
              <w:rPr>
                <w:rFonts w:ascii="Times New Roman"/>
                <w:sz w:val="22"/>
                <w:u w:val="single"/>
              </w:rPr>
              <w:t> </w:t>
              <w:tab/>
            </w:r>
          </w:p>
        </w:tc>
      </w:tr>
      <w:tr>
        <w:trPr>
          <w:trHeight w:val="254" w:hRule="atLeast"/>
        </w:trPr>
        <w:tc>
          <w:tcPr>
            <w:tcW w:w="7871" w:type="dxa"/>
          </w:tcPr>
          <w:p>
            <w:pPr>
              <w:pStyle w:val="TableParagraph"/>
              <w:ind w:left="50"/>
              <w:rPr>
                <w:sz w:val="22"/>
              </w:rPr>
            </w:pPr>
            <w:r>
              <w:rPr>
                <w:sz w:val="22"/>
              </w:rPr>
              <w:t>Parking</w:t>
            </w:r>
          </w:p>
        </w:tc>
        <w:tc>
          <w:tcPr>
            <w:tcW w:w="1637" w:type="dxa"/>
          </w:tcPr>
          <w:p>
            <w:pPr>
              <w:pStyle w:val="TableParagraph"/>
              <w:tabs>
                <w:tab w:pos="1487" w:val="left" w:leader="none"/>
              </w:tabs>
              <w:ind w:right="49"/>
              <w:jc w:val="right"/>
              <w:rPr>
                <w:rFonts w:ascii="Times New Roman"/>
                <w:sz w:val="22"/>
              </w:rPr>
            </w:pPr>
            <w:r>
              <w:rPr>
                <w:spacing w:val="-3"/>
                <w:sz w:val="22"/>
              </w:rPr>
              <w:t>$</w:t>
            </w:r>
            <w:r>
              <w:rPr>
                <w:rFonts w:ascii="Times New Roman"/>
                <w:sz w:val="22"/>
                <w:u w:val="single"/>
              </w:rPr>
              <w:t> </w:t>
              <w:tab/>
            </w:r>
          </w:p>
        </w:tc>
      </w:tr>
      <w:tr>
        <w:trPr>
          <w:trHeight w:val="253" w:hRule="atLeast"/>
        </w:trPr>
        <w:tc>
          <w:tcPr>
            <w:tcW w:w="7871" w:type="dxa"/>
          </w:tcPr>
          <w:p>
            <w:pPr>
              <w:pStyle w:val="TableParagraph"/>
              <w:tabs>
                <w:tab w:pos="1489" w:val="left" w:leader="none"/>
                <w:tab w:pos="3619" w:val="left" w:leader="none"/>
              </w:tabs>
              <w:ind w:left="50"/>
              <w:rPr>
                <w:sz w:val="22"/>
              </w:rPr>
            </w:pPr>
            <w:r>
              <w:rPr>
                <w:sz w:val="22"/>
              </w:rPr>
              <w:t>Itemize:</w:t>
              <w:tab/>
            </w:r>
            <w:r>
              <w:rPr>
                <w:sz w:val="22"/>
                <w:u w:val="single"/>
              </w:rPr>
              <w:t> </w:t>
              <w:tab/>
            </w:r>
            <w:r>
              <w:rPr>
                <w:sz w:val="22"/>
              </w:rPr>
              <w:t>for a total</w:t>
            </w:r>
            <w:r>
              <w:rPr>
                <w:spacing w:val="5"/>
                <w:sz w:val="22"/>
              </w:rPr>
              <w:t> </w:t>
            </w:r>
            <w:r>
              <w:rPr>
                <w:sz w:val="22"/>
              </w:rPr>
              <w:t>of</w:t>
            </w:r>
          </w:p>
        </w:tc>
        <w:tc>
          <w:tcPr>
            <w:tcW w:w="1637" w:type="dxa"/>
          </w:tcPr>
          <w:p>
            <w:pPr>
              <w:pStyle w:val="TableParagraph"/>
              <w:tabs>
                <w:tab w:pos="1487" w:val="left" w:leader="none"/>
              </w:tabs>
              <w:ind w:right="49"/>
              <w:jc w:val="right"/>
              <w:rPr>
                <w:rFonts w:ascii="Times New Roman"/>
                <w:sz w:val="22"/>
              </w:rPr>
            </w:pPr>
            <w:r>
              <w:rPr>
                <w:spacing w:val="-3"/>
                <w:sz w:val="22"/>
              </w:rPr>
              <w:t>$</w:t>
            </w:r>
            <w:r>
              <w:rPr>
                <w:rFonts w:ascii="Times New Roman"/>
                <w:sz w:val="22"/>
                <w:u w:val="single"/>
              </w:rPr>
              <w:t> </w:t>
              <w:tab/>
            </w:r>
          </w:p>
        </w:tc>
      </w:tr>
      <w:tr>
        <w:trPr>
          <w:trHeight w:val="254" w:hRule="atLeast"/>
        </w:trPr>
        <w:tc>
          <w:tcPr>
            <w:tcW w:w="7871" w:type="dxa"/>
          </w:tcPr>
          <w:p>
            <w:pPr>
              <w:pStyle w:val="TableParagraph"/>
              <w:tabs>
                <w:tab w:pos="3619" w:val="left" w:leader="none"/>
              </w:tabs>
              <w:ind w:left="1490"/>
              <w:rPr>
                <w:sz w:val="22"/>
              </w:rPr>
            </w:pPr>
            <w:r>
              <w:rPr>
                <w:rFonts w:ascii="Times New Roman"/>
                <w:sz w:val="22"/>
                <w:u w:val="single"/>
              </w:rPr>
              <w:t> </w:t>
              <w:tab/>
            </w:r>
            <w:r>
              <w:rPr>
                <w:sz w:val="22"/>
              </w:rPr>
              <w:t>for a total</w:t>
            </w:r>
            <w:r>
              <w:rPr>
                <w:spacing w:val="5"/>
                <w:sz w:val="22"/>
              </w:rPr>
              <w:t> </w:t>
            </w:r>
            <w:r>
              <w:rPr>
                <w:sz w:val="22"/>
              </w:rPr>
              <w:t>of</w:t>
            </w:r>
          </w:p>
        </w:tc>
        <w:tc>
          <w:tcPr>
            <w:tcW w:w="1637" w:type="dxa"/>
          </w:tcPr>
          <w:p>
            <w:pPr>
              <w:pStyle w:val="TableParagraph"/>
              <w:tabs>
                <w:tab w:pos="1487" w:val="left" w:leader="none"/>
              </w:tabs>
              <w:ind w:right="49"/>
              <w:jc w:val="right"/>
              <w:rPr>
                <w:rFonts w:ascii="Times New Roman"/>
                <w:sz w:val="22"/>
              </w:rPr>
            </w:pPr>
            <w:r>
              <w:rPr>
                <w:spacing w:val="-3"/>
                <w:sz w:val="22"/>
              </w:rPr>
              <w:t>$</w:t>
            </w:r>
            <w:r>
              <w:rPr>
                <w:rFonts w:ascii="Times New Roman"/>
                <w:sz w:val="22"/>
                <w:u w:val="single"/>
              </w:rPr>
              <w:t> </w:t>
              <w:tab/>
            </w:r>
          </w:p>
        </w:tc>
      </w:tr>
      <w:tr>
        <w:trPr>
          <w:trHeight w:val="374" w:hRule="atLeast"/>
        </w:trPr>
        <w:tc>
          <w:tcPr>
            <w:tcW w:w="7871" w:type="dxa"/>
          </w:tcPr>
          <w:p>
            <w:pPr>
              <w:pStyle w:val="TableParagraph"/>
              <w:tabs>
                <w:tab w:pos="3619" w:val="left" w:leader="none"/>
              </w:tabs>
              <w:spacing w:line="249" w:lineRule="exact"/>
              <w:ind w:left="1490"/>
              <w:rPr>
                <w:sz w:val="22"/>
              </w:rPr>
            </w:pPr>
            <w:r>
              <w:rPr>
                <w:rFonts w:ascii="Times New Roman"/>
                <w:sz w:val="22"/>
                <w:u w:val="single"/>
              </w:rPr>
              <w:t> </w:t>
              <w:tab/>
            </w:r>
            <w:r>
              <w:rPr>
                <w:sz w:val="22"/>
              </w:rPr>
              <w:t>for a total</w:t>
            </w:r>
            <w:r>
              <w:rPr>
                <w:spacing w:val="5"/>
                <w:sz w:val="22"/>
              </w:rPr>
              <w:t> </w:t>
            </w:r>
            <w:r>
              <w:rPr>
                <w:sz w:val="22"/>
              </w:rPr>
              <w:t>of</w:t>
            </w:r>
          </w:p>
        </w:tc>
        <w:tc>
          <w:tcPr>
            <w:tcW w:w="1637" w:type="dxa"/>
          </w:tcPr>
          <w:p>
            <w:pPr>
              <w:pStyle w:val="TableParagraph"/>
              <w:tabs>
                <w:tab w:pos="1487" w:val="left" w:leader="none"/>
              </w:tabs>
              <w:spacing w:line="249" w:lineRule="exact"/>
              <w:ind w:right="49"/>
              <w:jc w:val="right"/>
              <w:rPr>
                <w:rFonts w:ascii="Times New Roman"/>
                <w:sz w:val="22"/>
              </w:rPr>
            </w:pPr>
            <w:r>
              <w:rPr>
                <w:spacing w:val="-3"/>
                <w:sz w:val="22"/>
              </w:rPr>
              <w:t>$</w:t>
            </w:r>
            <w:r>
              <w:rPr>
                <w:rFonts w:ascii="Times New Roman"/>
                <w:sz w:val="22"/>
                <w:u w:val="single"/>
              </w:rPr>
              <w:t> </w:t>
              <w:tab/>
            </w:r>
          </w:p>
        </w:tc>
      </w:tr>
      <w:tr>
        <w:trPr>
          <w:trHeight w:val="392" w:hRule="atLeast"/>
        </w:trPr>
        <w:tc>
          <w:tcPr>
            <w:tcW w:w="7871" w:type="dxa"/>
          </w:tcPr>
          <w:p>
            <w:pPr>
              <w:pStyle w:val="TableParagraph"/>
              <w:spacing w:line="256" w:lineRule="exact" w:before="116"/>
              <w:ind w:left="50"/>
              <w:rPr>
                <w:b/>
                <w:sz w:val="22"/>
              </w:rPr>
            </w:pPr>
            <w:r>
              <w:rPr>
                <w:b/>
                <w:sz w:val="24"/>
                <w:u w:val="single"/>
              </w:rPr>
              <w:t>($300 </w:t>
            </w:r>
            <w:r>
              <w:rPr>
                <w:b/>
                <w:sz w:val="20"/>
                <w:u w:val="single"/>
              </w:rPr>
              <w:t>MAXIMUM REIMBURSEMENT</w:t>
            </w:r>
            <w:r>
              <w:rPr>
                <w:b/>
                <w:sz w:val="20"/>
              </w:rPr>
              <w:t> / SUBMIT REQUESTS QUARTERLY) </w:t>
            </w:r>
            <w:r>
              <w:rPr>
                <w:b/>
                <w:sz w:val="22"/>
              </w:rPr>
              <w:t>TOTAL</w:t>
            </w:r>
          </w:p>
        </w:tc>
        <w:tc>
          <w:tcPr>
            <w:tcW w:w="1637" w:type="dxa"/>
          </w:tcPr>
          <w:p>
            <w:pPr>
              <w:pStyle w:val="TableParagraph"/>
              <w:tabs>
                <w:tab w:pos="1482" w:val="left" w:leader="none"/>
              </w:tabs>
              <w:spacing w:line="218" w:lineRule="exact" w:before="154"/>
              <w:ind w:right="54"/>
              <w:jc w:val="right"/>
              <w:rPr>
                <w:rFonts w:ascii="Times New Roman"/>
                <w:sz w:val="20"/>
              </w:rPr>
            </w:pPr>
            <w:r>
              <w:rPr>
                <w:b/>
                <w:spacing w:val="-4"/>
                <w:sz w:val="20"/>
              </w:rPr>
              <w:t>$</w:t>
            </w:r>
            <w:r>
              <w:rPr>
                <w:rFonts w:ascii="Times New Roman"/>
                <w:sz w:val="20"/>
                <w:u w:val="double"/>
              </w:rPr>
              <w:t> </w:t>
              <w:tab/>
            </w:r>
          </w:p>
        </w:tc>
      </w:tr>
    </w:tbl>
    <w:p>
      <w:pPr>
        <w:tabs>
          <w:tab w:pos="655" w:val="left" w:leader="none"/>
          <w:tab w:pos="5561" w:val="left" w:leader="none"/>
        </w:tabs>
        <w:spacing w:before="213"/>
        <w:ind w:left="161" w:right="0" w:firstLine="0"/>
        <w:jc w:val="left"/>
        <w:rPr>
          <w:sz w:val="18"/>
        </w:rPr>
      </w:pPr>
      <w:r>
        <w:rPr>
          <w:sz w:val="18"/>
          <w:u w:val="single"/>
        </w:rPr>
        <w:t> </w:t>
        <w:tab/>
      </w:r>
      <w:r>
        <w:rPr>
          <w:sz w:val="18"/>
        </w:rPr>
        <w:t>Make check payable</w:t>
      </w:r>
      <w:r>
        <w:rPr>
          <w:spacing w:val="-8"/>
          <w:sz w:val="18"/>
        </w:rPr>
        <w:t> </w:t>
      </w:r>
      <w:r>
        <w:rPr>
          <w:sz w:val="18"/>
        </w:rPr>
        <w:t>to</w:t>
      </w:r>
      <w:r>
        <w:rPr>
          <w:spacing w:val="-3"/>
          <w:sz w:val="18"/>
        </w:rPr>
        <w:t> </w:t>
      </w:r>
      <w:r>
        <w:rPr>
          <w:sz w:val="18"/>
        </w:rPr>
        <w:t>me.</w:t>
        <w:tab/>
        <w:t>Labor &amp; Employment Law Section</w:t>
      </w:r>
      <w:r>
        <w:rPr>
          <w:spacing w:val="-7"/>
          <w:sz w:val="18"/>
        </w:rPr>
        <w:t> </w:t>
      </w:r>
      <w:r>
        <w:rPr>
          <w:sz w:val="18"/>
        </w:rPr>
        <w:t>Approval:</w:t>
      </w:r>
    </w:p>
    <w:p>
      <w:pPr>
        <w:pStyle w:val="BodyText"/>
        <w:spacing w:before="7"/>
        <w:rPr>
          <w:sz w:val="10"/>
        </w:rPr>
      </w:pPr>
    </w:p>
    <w:p>
      <w:pPr>
        <w:tabs>
          <w:tab w:pos="493" w:val="left" w:leader="none"/>
        </w:tabs>
        <w:spacing w:before="93"/>
        <w:ind w:left="0" w:right="6590" w:firstLine="0"/>
        <w:jc w:val="center"/>
        <w:rPr>
          <w:sz w:val="18"/>
        </w:rPr>
      </w:pPr>
      <w:r>
        <w:rPr>
          <w:sz w:val="18"/>
          <w:u w:val="single"/>
        </w:rPr>
        <w:t> </w:t>
        <w:tab/>
      </w:r>
      <w:r>
        <w:rPr>
          <w:sz w:val="18"/>
        </w:rPr>
        <w:t>Make check payable to my</w:t>
      </w:r>
      <w:r>
        <w:rPr>
          <w:spacing w:val="-17"/>
          <w:sz w:val="18"/>
        </w:rPr>
        <w:t> </w:t>
      </w:r>
      <w:r>
        <w:rPr>
          <w:sz w:val="18"/>
        </w:rPr>
        <w:t>firm.</w:t>
      </w:r>
    </w:p>
    <w:p>
      <w:pPr>
        <w:pStyle w:val="BodyText"/>
        <w:spacing w:line="20" w:lineRule="exact"/>
        <w:ind w:left="5558"/>
        <w:rPr>
          <w:sz w:val="2"/>
        </w:rPr>
      </w:pPr>
      <w:r>
        <w:rPr>
          <w:sz w:val="2"/>
        </w:rPr>
        <w:pict>
          <v:group style="width:145.450pt;height:.4pt;mso-position-horizontal-relative:char;mso-position-vertical-relative:line" coordorigin="0,0" coordsize="2909,8">
            <v:line style="position:absolute" from="0,4" to="2909,4" stroked="true" strokeweight=".36pt" strokecolor="#000000">
              <v:stroke dashstyle="solid"/>
            </v:line>
          </v:group>
        </w:pict>
      </w:r>
      <w:r>
        <w:rPr>
          <w:sz w:val="2"/>
        </w:rPr>
      </w:r>
    </w:p>
    <w:p>
      <w:pPr>
        <w:spacing w:before="0"/>
        <w:ind w:left="2800" w:right="727" w:firstLine="0"/>
        <w:jc w:val="center"/>
        <w:rPr>
          <w:sz w:val="18"/>
        </w:rPr>
      </w:pPr>
      <w:r>
        <w:rPr>
          <w:sz w:val="18"/>
        </w:rPr>
        <w:t>Signature</w:t>
      </w:r>
    </w:p>
    <w:p>
      <w:pPr>
        <w:pStyle w:val="BodyText"/>
        <w:spacing w:before="7"/>
        <w:rPr>
          <w:sz w:val="10"/>
        </w:rPr>
      </w:pPr>
    </w:p>
    <w:p>
      <w:pPr>
        <w:tabs>
          <w:tab w:pos="1241" w:val="left" w:leader="none"/>
          <w:tab w:pos="5561" w:val="left" w:leader="none"/>
          <w:tab w:pos="8510" w:val="left" w:leader="none"/>
        </w:tabs>
        <w:spacing w:before="93"/>
        <w:ind w:left="161" w:right="0" w:firstLine="0"/>
        <w:jc w:val="left"/>
        <w:rPr>
          <w:sz w:val="18"/>
        </w:rPr>
      </w:pPr>
      <w:r>
        <w:rPr>
          <w:sz w:val="18"/>
        </w:rPr>
        <w:t>Return</w:t>
      </w:r>
      <w:r>
        <w:rPr>
          <w:spacing w:val="-1"/>
          <w:sz w:val="18"/>
        </w:rPr>
        <w:t> </w:t>
      </w:r>
      <w:r>
        <w:rPr>
          <w:sz w:val="18"/>
        </w:rPr>
        <w:t>to:</w:t>
        <w:tab/>
        <w:t>Angie Froelich, The Florida</w:t>
      </w:r>
      <w:r>
        <w:rPr>
          <w:spacing w:val="-20"/>
          <w:sz w:val="18"/>
        </w:rPr>
        <w:t> </w:t>
      </w:r>
      <w:r>
        <w:rPr>
          <w:sz w:val="18"/>
        </w:rPr>
        <w:t>Bar</w:t>
        <w:tab/>
      </w:r>
      <w:r>
        <w:rPr>
          <w:sz w:val="18"/>
          <w:u w:val="single"/>
        </w:rPr>
        <w:t> </w:t>
        <w:tab/>
      </w:r>
    </w:p>
    <w:p>
      <w:pPr>
        <w:tabs>
          <w:tab w:pos="5561" w:val="left" w:leader="none"/>
        </w:tabs>
        <w:spacing w:before="3"/>
        <w:ind w:left="1241" w:right="0" w:firstLine="0"/>
        <w:jc w:val="left"/>
        <w:rPr>
          <w:sz w:val="18"/>
        </w:rPr>
      </w:pPr>
      <w:r>
        <w:rPr>
          <w:sz w:val="18"/>
        </w:rPr>
        <w:t>651 E.</w:t>
      </w:r>
      <w:r>
        <w:rPr>
          <w:spacing w:val="-5"/>
          <w:sz w:val="18"/>
        </w:rPr>
        <w:t> </w:t>
      </w:r>
      <w:r>
        <w:rPr>
          <w:sz w:val="18"/>
        </w:rPr>
        <w:t>Jefferson</w:t>
      </w:r>
      <w:r>
        <w:rPr>
          <w:spacing w:val="-1"/>
          <w:sz w:val="18"/>
        </w:rPr>
        <w:t> </w:t>
      </w:r>
      <w:r>
        <w:rPr>
          <w:sz w:val="18"/>
        </w:rPr>
        <w:t>Street</w:t>
        <w:tab/>
        <w:t>Date</w:t>
      </w:r>
    </w:p>
    <w:p>
      <w:pPr>
        <w:spacing w:line="242" w:lineRule="auto" w:before="5"/>
        <w:ind w:left="1241" w:right="6114" w:firstLine="0"/>
        <w:jc w:val="left"/>
        <w:rPr>
          <w:sz w:val="18"/>
        </w:rPr>
      </w:pPr>
      <w:r>
        <w:rPr>
          <w:sz w:val="18"/>
        </w:rPr>
        <w:t>Tallahassee, Florida 32399-2300 Email: </w:t>
      </w:r>
      <w:hyperlink r:id="rId6">
        <w:r>
          <w:rPr>
            <w:color w:val="0000FF"/>
            <w:sz w:val="18"/>
            <w:u w:val="single" w:color="0000FF"/>
          </w:rPr>
          <w:t>afroelic@flabar.org</w:t>
        </w:r>
      </w:hyperlink>
    </w:p>
    <w:p>
      <w:pPr>
        <w:pStyle w:val="BodyText"/>
        <w:spacing w:before="1"/>
        <w:rPr>
          <w:sz w:val="9"/>
        </w:rPr>
      </w:pPr>
    </w:p>
    <w:p>
      <w:pPr>
        <w:spacing w:before="95"/>
        <w:ind w:left="0" w:right="60" w:firstLine="0"/>
        <w:jc w:val="center"/>
        <w:rPr>
          <w:rFonts w:ascii="Arial"/>
          <w:b/>
          <w:sz w:val="16"/>
        </w:rPr>
      </w:pPr>
      <w:r>
        <w:rPr>
          <w:rFonts w:ascii="Arial"/>
          <w:b/>
          <w:sz w:val="16"/>
        </w:rPr>
        <w:t>TIME LIMIT TO SUBMIT REQUEST IS QUARTERLY. See SBP 56.1(6).</w:t>
      </w:r>
    </w:p>
    <w:p>
      <w:pPr>
        <w:spacing w:before="11"/>
        <w:ind w:left="0" w:right="58" w:firstLine="0"/>
        <w:jc w:val="center"/>
        <w:rPr>
          <w:b/>
          <w:sz w:val="28"/>
        </w:rPr>
      </w:pPr>
      <w:r>
        <w:rPr>
          <w:b/>
          <w:sz w:val="28"/>
        </w:rPr>
        <w:t>STANDING BOARD POLICIES</w:t>
      </w:r>
    </w:p>
    <w:p>
      <w:pPr>
        <w:spacing w:after="0"/>
        <w:jc w:val="center"/>
        <w:rPr>
          <w:sz w:val="28"/>
        </w:rPr>
        <w:sectPr>
          <w:type w:val="continuous"/>
          <w:pgSz w:w="12240" w:h="15840"/>
          <w:pgMar w:top="820" w:bottom="280" w:left="1280" w:right="1220"/>
        </w:sectPr>
      </w:pPr>
    </w:p>
    <w:p>
      <w:pPr>
        <w:spacing w:before="72"/>
        <w:ind w:left="0" w:right="60" w:firstLine="0"/>
        <w:jc w:val="center"/>
        <w:rPr>
          <w:b/>
          <w:sz w:val="28"/>
        </w:rPr>
      </w:pPr>
      <w:r>
        <w:rPr>
          <w:b/>
          <w:sz w:val="28"/>
        </w:rPr>
        <w:t>REGARDING SECTION DISBURSEMENT POLICIES</w:t>
      </w:r>
    </w:p>
    <w:p>
      <w:pPr>
        <w:pStyle w:val="BodyText"/>
        <w:spacing w:before="9"/>
        <w:rPr>
          <w:b/>
          <w:sz w:val="12"/>
        </w:rPr>
      </w:pPr>
    </w:p>
    <w:p>
      <w:pPr>
        <w:pStyle w:val="BodyText"/>
        <w:spacing w:before="92"/>
        <w:ind w:left="161"/>
      </w:pPr>
      <w:r>
        <w:rPr>
          <w:u w:val="single"/>
        </w:rPr>
        <w:t>POLICY 5.61-</w:t>
      </w:r>
    </w:p>
    <w:p>
      <w:pPr>
        <w:pStyle w:val="BodyText"/>
        <w:spacing w:before="3"/>
        <w:rPr>
          <w:sz w:val="13"/>
        </w:rPr>
      </w:pPr>
    </w:p>
    <w:p>
      <w:pPr>
        <w:pStyle w:val="ListParagraph"/>
        <w:numPr>
          <w:ilvl w:val="0"/>
          <w:numId w:val="1"/>
        </w:numPr>
        <w:tabs>
          <w:tab w:pos="1210" w:val="left" w:leader="none"/>
        </w:tabs>
        <w:spacing w:line="247" w:lineRule="auto" w:before="92" w:after="0"/>
        <w:ind w:left="881" w:right="222" w:firstLine="0"/>
        <w:jc w:val="both"/>
        <w:rPr>
          <w:sz w:val="20"/>
        </w:rPr>
      </w:pPr>
      <w:r>
        <w:rPr>
          <w:b/>
          <w:sz w:val="20"/>
        </w:rPr>
        <w:t>Section Reimbursement Policy.</w:t>
      </w:r>
      <w:r>
        <w:rPr>
          <w:b/>
          <w:spacing w:val="11"/>
          <w:sz w:val="20"/>
        </w:rPr>
        <w:t> </w:t>
      </w:r>
      <w:r>
        <w:rPr>
          <w:sz w:val="20"/>
        </w:rPr>
        <w:t>Sections may separately budget a fixed amount to be paid annually to section officers for reimbursement of all expenses incurred as opposed to reimbursing expenses on an item-by-item basis. Except for the expense allowance herein provided for section officers, all reimbursement of expenses must be in accordance with the following or be on a more restrictive basis as determined by individual</w:t>
      </w:r>
      <w:r>
        <w:rPr>
          <w:spacing w:val="-3"/>
          <w:sz w:val="20"/>
        </w:rPr>
        <w:t> </w:t>
      </w:r>
      <w:r>
        <w:rPr>
          <w:sz w:val="20"/>
        </w:rPr>
        <w:t>sections:</w:t>
      </w:r>
    </w:p>
    <w:p>
      <w:pPr>
        <w:pStyle w:val="BodyText"/>
        <w:spacing w:before="3"/>
      </w:pPr>
    </w:p>
    <w:p>
      <w:pPr>
        <w:pStyle w:val="ListParagraph"/>
        <w:numPr>
          <w:ilvl w:val="0"/>
          <w:numId w:val="2"/>
        </w:numPr>
        <w:tabs>
          <w:tab w:pos="1218" w:val="left" w:leader="none"/>
        </w:tabs>
        <w:spacing w:line="240" w:lineRule="auto" w:before="0" w:after="0"/>
        <w:ind w:left="1218" w:right="0" w:hanging="337"/>
        <w:jc w:val="both"/>
        <w:rPr>
          <w:sz w:val="20"/>
        </w:rPr>
      </w:pPr>
      <w:r>
        <w:rPr>
          <w:b/>
          <w:sz w:val="20"/>
        </w:rPr>
        <w:t>Travel Expenses. </w:t>
      </w:r>
      <w:r>
        <w:rPr>
          <w:sz w:val="20"/>
        </w:rPr>
        <w:t>Travel expense reimbursement is essentially the same as for bar</w:t>
      </w:r>
      <w:r>
        <w:rPr>
          <w:spacing w:val="-28"/>
          <w:sz w:val="20"/>
        </w:rPr>
        <w:t> </w:t>
      </w:r>
      <w:r>
        <w:rPr>
          <w:sz w:val="20"/>
        </w:rPr>
        <w:t>employees.</w:t>
      </w:r>
    </w:p>
    <w:p>
      <w:pPr>
        <w:pStyle w:val="ListParagraph"/>
        <w:numPr>
          <w:ilvl w:val="1"/>
          <w:numId w:val="2"/>
        </w:numPr>
        <w:tabs>
          <w:tab w:pos="1260" w:val="left" w:leader="none"/>
        </w:tabs>
        <w:spacing w:line="240" w:lineRule="auto" w:before="6" w:after="0"/>
        <w:ind w:left="1259" w:right="0" w:hanging="379"/>
        <w:jc w:val="both"/>
        <w:rPr>
          <w:sz w:val="20"/>
        </w:rPr>
      </w:pPr>
      <w:r>
        <w:rPr>
          <w:sz w:val="20"/>
        </w:rPr>
        <w:t>Air fare in all instances shall be "coach".</w:t>
      </w:r>
    </w:p>
    <w:p>
      <w:pPr>
        <w:pStyle w:val="ListParagraph"/>
        <w:numPr>
          <w:ilvl w:val="1"/>
          <w:numId w:val="2"/>
        </w:numPr>
        <w:tabs>
          <w:tab w:pos="1270" w:val="left" w:leader="none"/>
        </w:tabs>
        <w:spacing w:line="247" w:lineRule="auto" w:before="6" w:after="0"/>
        <w:ind w:left="881" w:right="234" w:firstLine="0"/>
        <w:jc w:val="both"/>
        <w:rPr>
          <w:sz w:val="20"/>
        </w:rPr>
      </w:pPr>
      <w:r>
        <w:rPr>
          <w:sz w:val="20"/>
        </w:rPr>
        <w:t>Mileage is reimbursed at the maximum rate permissible by IRS without reporting such reimbursement to the Internal Revenue Service or some lower figure set by the</w:t>
      </w:r>
      <w:r>
        <w:rPr>
          <w:spacing w:val="-8"/>
          <w:sz w:val="20"/>
        </w:rPr>
        <w:t> </w:t>
      </w:r>
      <w:r>
        <w:rPr>
          <w:sz w:val="20"/>
        </w:rPr>
        <w:t>section.</w:t>
      </w:r>
    </w:p>
    <w:p>
      <w:pPr>
        <w:pStyle w:val="ListParagraph"/>
        <w:numPr>
          <w:ilvl w:val="1"/>
          <w:numId w:val="2"/>
        </w:numPr>
        <w:tabs>
          <w:tab w:pos="1316" w:val="left" w:leader="none"/>
        </w:tabs>
        <w:spacing w:line="247" w:lineRule="auto" w:before="0" w:after="0"/>
        <w:ind w:left="881" w:right="236" w:firstLine="0"/>
        <w:jc w:val="both"/>
        <w:rPr>
          <w:sz w:val="20"/>
        </w:rPr>
      </w:pPr>
      <w:r>
        <w:rPr>
          <w:sz w:val="20"/>
        </w:rPr>
        <w:t>When taxis or limousines are not practicable, a rental car may be used. The rental car shall be a subcompact or compact, or any other vehicle at a rate no greater than the rates for a subcompact or compact.</w:t>
      </w:r>
    </w:p>
    <w:p>
      <w:pPr>
        <w:pStyle w:val="ListParagraph"/>
        <w:numPr>
          <w:ilvl w:val="1"/>
          <w:numId w:val="2"/>
        </w:numPr>
        <w:tabs>
          <w:tab w:pos="1262" w:val="left" w:leader="none"/>
        </w:tabs>
        <w:spacing w:line="227" w:lineRule="exact" w:before="0" w:after="0"/>
        <w:ind w:left="1261" w:right="0" w:hanging="381"/>
        <w:jc w:val="both"/>
        <w:rPr>
          <w:sz w:val="20"/>
        </w:rPr>
      </w:pPr>
      <w:r>
        <w:rPr>
          <w:sz w:val="20"/>
        </w:rPr>
        <w:t>The method of travel should be the most economical, considering both time and travel</w:t>
      </w:r>
      <w:r>
        <w:rPr>
          <w:spacing w:val="-20"/>
          <w:sz w:val="20"/>
        </w:rPr>
        <w:t> </w:t>
      </w:r>
      <w:r>
        <w:rPr>
          <w:sz w:val="20"/>
        </w:rPr>
        <w:t>costs.</w:t>
      </w:r>
    </w:p>
    <w:p>
      <w:pPr>
        <w:pStyle w:val="ListParagraph"/>
        <w:numPr>
          <w:ilvl w:val="1"/>
          <w:numId w:val="2"/>
        </w:numPr>
        <w:tabs>
          <w:tab w:pos="1256" w:val="left" w:leader="none"/>
        </w:tabs>
        <w:spacing w:line="247" w:lineRule="auto" w:before="4" w:after="0"/>
        <w:ind w:left="881" w:right="237" w:firstLine="0"/>
        <w:jc w:val="both"/>
        <w:rPr>
          <w:sz w:val="20"/>
        </w:rPr>
      </w:pPr>
      <w:r>
        <w:rPr>
          <w:sz w:val="20"/>
        </w:rPr>
        <w:t>Meals shall be reimbursed at the same rate as is then applicable for expenses by staff members of The Florida Bar. </w:t>
      </w:r>
      <w:r>
        <w:rPr>
          <w:spacing w:val="-3"/>
          <w:sz w:val="20"/>
        </w:rPr>
        <w:t>If </w:t>
      </w:r>
      <w:r>
        <w:rPr>
          <w:sz w:val="20"/>
        </w:rPr>
        <w:t>there is a group meal function which is paid for by the section, no individual meal reimbursement shall be</w:t>
      </w:r>
      <w:r>
        <w:rPr>
          <w:spacing w:val="-2"/>
          <w:sz w:val="20"/>
        </w:rPr>
        <w:t> </w:t>
      </w:r>
      <w:r>
        <w:rPr>
          <w:sz w:val="20"/>
        </w:rPr>
        <w:t>permitted.</w:t>
      </w:r>
    </w:p>
    <w:p>
      <w:pPr>
        <w:pStyle w:val="ListParagraph"/>
        <w:numPr>
          <w:ilvl w:val="1"/>
          <w:numId w:val="2"/>
        </w:numPr>
        <w:tabs>
          <w:tab w:pos="1230" w:val="left" w:leader="none"/>
        </w:tabs>
        <w:spacing w:line="227" w:lineRule="exact" w:before="0" w:after="0"/>
        <w:ind w:left="1229" w:right="0" w:hanging="349"/>
        <w:jc w:val="both"/>
        <w:rPr>
          <w:sz w:val="20"/>
        </w:rPr>
      </w:pPr>
      <w:r>
        <w:rPr>
          <w:sz w:val="20"/>
        </w:rPr>
        <w:t>Copies of receipts for lodging, out-of-town travel expenses (airline tickets, etc.) and all other charges</w:t>
      </w:r>
      <w:r>
        <w:rPr>
          <w:spacing w:val="-23"/>
          <w:sz w:val="20"/>
        </w:rPr>
        <w:t> </w:t>
      </w:r>
      <w:r>
        <w:rPr>
          <w:sz w:val="20"/>
        </w:rPr>
        <w:t>of</w:t>
      </w:r>
    </w:p>
    <w:p>
      <w:pPr>
        <w:pStyle w:val="BodyText"/>
        <w:spacing w:before="6"/>
        <w:ind w:left="881"/>
        <w:jc w:val="both"/>
      </w:pPr>
      <w:r>
        <w:rPr/>
        <w:t>$25.00 or more (other than mileage and authorized meal allowances) must be attached.</w:t>
      </w:r>
    </w:p>
    <w:p>
      <w:pPr>
        <w:pStyle w:val="BodyText"/>
        <w:spacing w:line="247" w:lineRule="auto" w:before="7"/>
        <w:ind w:left="881" w:right="222"/>
        <w:jc w:val="both"/>
      </w:pPr>
      <w:r>
        <w:rPr/>
        <w:t>(I) The travel expenses of the spouse, companion or associate of a Florida bar CLE speaker may be reimbursed in the same amounts and for the same items of expenditures as otherwise allowed for the speaker; however, reimbursement shall not be allowed unless provided for in the section's annual budget as an "excess speaker expense" under SBP 5.60(k).</w:t>
      </w:r>
    </w:p>
    <w:p>
      <w:pPr>
        <w:pStyle w:val="Heading4"/>
        <w:numPr>
          <w:ilvl w:val="0"/>
          <w:numId w:val="2"/>
        </w:numPr>
        <w:tabs>
          <w:tab w:pos="1220" w:val="left" w:leader="none"/>
        </w:tabs>
        <w:spacing w:line="242" w:lineRule="auto" w:before="0" w:after="0"/>
        <w:ind w:left="881" w:right="222" w:firstLine="0"/>
        <w:jc w:val="both"/>
      </w:pPr>
      <w:r>
        <w:rPr>
          <w:u w:val="single"/>
        </w:rPr>
        <w:t>Time</w:t>
      </w:r>
      <w:r>
        <w:rPr>
          <w:spacing w:val="-10"/>
          <w:u w:val="single"/>
        </w:rPr>
        <w:t> </w:t>
      </w:r>
      <w:r>
        <w:rPr>
          <w:u w:val="single"/>
        </w:rPr>
        <w:t>Limits</w:t>
      </w:r>
      <w:r>
        <w:rPr>
          <w:spacing w:val="-7"/>
          <w:u w:val="single"/>
        </w:rPr>
        <w:t> </w:t>
      </w:r>
      <w:r>
        <w:rPr>
          <w:u w:val="single"/>
        </w:rPr>
        <w:t>for</w:t>
      </w:r>
      <w:r>
        <w:rPr>
          <w:spacing w:val="-6"/>
          <w:u w:val="single"/>
        </w:rPr>
        <w:t> </w:t>
      </w:r>
      <w:r>
        <w:rPr>
          <w:u w:val="single"/>
        </w:rPr>
        <w:t>Reimbursement</w:t>
      </w:r>
      <w:r>
        <w:rPr>
          <w:spacing w:val="-6"/>
          <w:u w:val="single"/>
        </w:rPr>
        <w:t> </w:t>
      </w:r>
      <w:r>
        <w:rPr>
          <w:u w:val="single"/>
        </w:rPr>
        <w:t>Requests.</w:t>
      </w:r>
      <w:r>
        <w:rPr>
          <w:spacing w:val="41"/>
          <w:u w:val="single"/>
        </w:rPr>
        <w:t> </w:t>
      </w:r>
      <w:r>
        <w:rPr>
          <w:u w:val="single"/>
        </w:rPr>
        <w:t>Expenses</w:t>
      </w:r>
      <w:r>
        <w:rPr>
          <w:spacing w:val="-7"/>
          <w:u w:val="single"/>
        </w:rPr>
        <w:t> </w:t>
      </w:r>
      <w:r>
        <w:rPr>
          <w:u w:val="single"/>
        </w:rPr>
        <w:t>to</w:t>
      </w:r>
      <w:r>
        <w:rPr>
          <w:spacing w:val="-6"/>
          <w:u w:val="single"/>
        </w:rPr>
        <w:t> </w:t>
      </w:r>
      <w:r>
        <w:rPr>
          <w:u w:val="single"/>
        </w:rPr>
        <w:t>be</w:t>
      </w:r>
      <w:r>
        <w:rPr>
          <w:spacing w:val="-8"/>
          <w:u w:val="single"/>
        </w:rPr>
        <w:t> </w:t>
      </w:r>
      <w:r>
        <w:rPr>
          <w:u w:val="single"/>
        </w:rPr>
        <w:t>considered</w:t>
      </w:r>
      <w:r>
        <w:rPr>
          <w:spacing w:val="-7"/>
          <w:u w:val="single"/>
        </w:rPr>
        <w:t> </w:t>
      </w:r>
      <w:r>
        <w:rPr>
          <w:u w:val="single"/>
        </w:rPr>
        <w:t>for</w:t>
      </w:r>
      <w:r>
        <w:rPr>
          <w:spacing w:val="-7"/>
          <w:u w:val="single"/>
        </w:rPr>
        <w:t> </w:t>
      </w:r>
      <w:r>
        <w:rPr>
          <w:u w:val="single"/>
        </w:rPr>
        <w:t>reimbursement</w:t>
      </w:r>
      <w:r>
        <w:rPr>
          <w:spacing w:val="-6"/>
          <w:u w:val="single"/>
        </w:rPr>
        <w:t> </w:t>
      </w:r>
      <w:r>
        <w:rPr>
          <w:u w:val="single"/>
        </w:rPr>
        <w:t>must</w:t>
      </w:r>
      <w:r>
        <w:rPr>
          <w:spacing w:val="-10"/>
          <w:u w:val="single"/>
        </w:rPr>
        <w:t> </w:t>
      </w:r>
      <w:r>
        <w:rPr>
          <w:u w:val="single"/>
        </w:rPr>
        <w:t>be submitted at least quarterly within 30 days of the end of the quarter for any quarter the cumulative unreported expenses exceed $100.00. Expense reports due for periods ending on June 30 must be filed by July 15. A section may elect to hold actual payment of such expense statements until July 15 after the end of the fiscal</w:t>
      </w:r>
      <w:r>
        <w:rPr>
          <w:spacing w:val="3"/>
          <w:u w:val="single"/>
        </w:rPr>
        <w:t> </w:t>
      </w:r>
      <w:r>
        <w:rPr>
          <w:u w:val="single"/>
        </w:rPr>
        <w:t>year.</w:t>
      </w:r>
    </w:p>
    <w:p>
      <w:pPr>
        <w:pStyle w:val="ListParagraph"/>
        <w:numPr>
          <w:ilvl w:val="0"/>
          <w:numId w:val="1"/>
        </w:numPr>
        <w:tabs>
          <w:tab w:pos="1194" w:val="left" w:leader="none"/>
        </w:tabs>
        <w:spacing w:line="247" w:lineRule="auto" w:before="1" w:after="0"/>
        <w:ind w:left="881" w:right="224" w:firstLine="0"/>
        <w:jc w:val="both"/>
        <w:rPr>
          <w:sz w:val="20"/>
        </w:rPr>
      </w:pPr>
      <w:r>
        <w:rPr>
          <w:b/>
          <w:sz w:val="20"/>
        </w:rPr>
        <w:t>Conflicting Policies. </w:t>
      </w:r>
      <w:r>
        <w:rPr>
          <w:sz w:val="20"/>
        </w:rPr>
        <w:t>Any existing policy of The Florida Bar that conflicts with this policy shall not be controlling and should be amended. These policies are otherwise minimal umbrella policies within which sections are to operate. Sections shall establish policies specific to the individual section within the umbrella</w:t>
      </w:r>
      <w:r>
        <w:rPr>
          <w:spacing w:val="-2"/>
          <w:sz w:val="20"/>
        </w:rPr>
        <w:t> </w:t>
      </w:r>
      <w:r>
        <w:rPr>
          <w:sz w:val="20"/>
        </w:rPr>
        <w:t>policies.</w:t>
      </w:r>
    </w:p>
    <w:p>
      <w:pPr>
        <w:pStyle w:val="BodyText"/>
        <w:spacing w:before="4"/>
      </w:pPr>
    </w:p>
    <w:p>
      <w:pPr>
        <w:pStyle w:val="Heading4"/>
        <w:spacing w:line="242" w:lineRule="auto"/>
        <w:ind w:right="225"/>
        <w:jc w:val="both"/>
      </w:pPr>
      <w:r>
        <w:rPr/>
        <w:t>In addition to Standing Board Policy 5.61-(e)(5) and (e)(6), the Executive Council of the Labor and Employment Law Section adopts the following disbursement policies for labor certification committee members:</w:t>
      </w:r>
    </w:p>
    <w:p>
      <w:pPr>
        <w:pStyle w:val="BodyText"/>
        <w:spacing w:before="5"/>
        <w:rPr>
          <w:b/>
        </w:rPr>
      </w:pPr>
    </w:p>
    <w:p>
      <w:pPr>
        <w:pStyle w:val="ListParagraph"/>
        <w:numPr>
          <w:ilvl w:val="0"/>
          <w:numId w:val="3"/>
        </w:numPr>
        <w:tabs>
          <w:tab w:pos="1242" w:val="left" w:leader="none"/>
        </w:tabs>
        <w:spacing w:line="244" w:lineRule="auto" w:before="0" w:after="0"/>
        <w:ind w:left="1241" w:right="236" w:hanging="360"/>
        <w:jc w:val="left"/>
        <w:rPr>
          <w:b/>
          <w:sz w:val="20"/>
        </w:rPr>
      </w:pPr>
      <w:r>
        <w:rPr>
          <w:b/>
          <w:sz w:val="20"/>
        </w:rPr>
        <w:t>Hotel expenses shall not be reimbursed more than the conference rate quoted and available to the</w:t>
      </w:r>
      <w:r>
        <w:rPr>
          <w:b/>
          <w:spacing w:val="1"/>
          <w:sz w:val="20"/>
        </w:rPr>
        <w:t> </w:t>
      </w:r>
      <w:r>
        <w:rPr>
          <w:b/>
          <w:spacing w:val="-3"/>
          <w:sz w:val="20"/>
        </w:rPr>
        <w:t>members.</w:t>
      </w:r>
    </w:p>
    <w:p>
      <w:pPr>
        <w:pStyle w:val="ListParagraph"/>
        <w:numPr>
          <w:ilvl w:val="0"/>
          <w:numId w:val="3"/>
        </w:numPr>
        <w:tabs>
          <w:tab w:pos="1242" w:val="left" w:leader="none"/>
        </w:tabs>
        <w:spacing w:line="227" w:lineRule="exact" w:before="0" w:after="0"/>
        <w:ind w:left="1242" w:right="0" w:hanging="361"/>
        <w:jc w:val="left"/>
        <w:rPr>
          <w:b/>
          <w:sz w:val="20"/>
        </w:rPr>
      </w:pPr>
      <w:r>
        <w:rPr>
          <w:b/>
          <w:sz w:val="20"/>
        </w:rPr>
        <w:t>Total reimbursements shall not exceed $300 of reimbursable expenses per </w:t>
      </w:r>
      <w:r>
        <w:rPr>
          <w:b/>
          <w:spacing w:val="-3"/>
          <w:sz w:val="20"/>
        </w:rPr>
        <w:t>member </w:t>
      </w:r>
      <w:r>
        <w:rPr>
          <w:b/>
          <w:sz w:val="20"/>
        </w:rPr>
        <w:t>per</w:t>
      </w:r>
      <w:r>
        <w:rPr>
          <w:b/>
          <w:spacing w:val="-17"/>
          <w:sz w:val="20"/>
        </w:rPr>
        <w:t> </w:t>
      </w:r>
      <w:r>
        <w:rPr>
          <w:b/>
          <w:sz w:val="20"/>
        </w:rPr>
        <w:t>trip.</w:t>
      </w:r>
    </w:p>
    <w:p>
      <w:pPr>
        <w:pStyle w:val="ListParagraph"/>
        <w:numPr>
          <w:ilvl w:val="0"/>
          <w:numId w:val="3"/>
        </w:numPr>
        <w:tabs>
          <w:tab w:pos="1242" w:val="left" w:leader="none"/>
        </w:tabs>
        <w:spacing w:line="240" w:lineRule="auto" w:before="4" w:after="0"/>
        <w:ind w:left="1242" w:right="0" w:hanging="361"/>
        <w:jc w:val="left"/>
        <w:rPr>
          <w:b/>
          <w:sz w:val="20"/>
        </w:rPr>
      </w:pPr>
      <w:r>
        <w:rPr>
          <w:b/>
          <w:sz w:val="20"/>
        </w:rPr>
        <w:t>The following travel expenses may be reimbursed: Storage, parking fees, portage not</w:t>
      </w:r>
      <w:r>
        <w:rPr>
          <w:b/>
          <w:spacing w:val="32"/>
          <w:sz w:val="20"/>
        </w:rPr>
        <w:t> </w:t>
      </w:r>
      <w:r>
        <w:rPr>
          <w:b/>
          <w:sz w:val="20"/>
        </w:rPr>
        <w:t>to exceed</w:t>
      </w:r>
    </w:p>
    <w:p>
      <w:pPr>
        <w:spacing w:before="2"/>
        <w:ind w:left="1241" w:right="0" w:firstLine="0"/>
        <w:jc w:val="left"/>
        <w:rPr>
          <w:b/>
          <w:sz w:val="20"/>
        </w:rPr>
      </w:pPr>
      <w:r>
        <w:rPr>
          <w:b/>
          <w:sz w:val="20"/>
        </w:rPr>
        <w:t>$2 per bag, tips and gratuities not to exceed 15 percent.</w:t>
      </w:r>
    </w:p>
    <w:p>
      <w:pPr>
        <w:pStyle w:val="ListParagraph"/>
        <w:numPr>
          <w:ilvl w:val="0"/>
          <w:numId w:val="3"/>
        </w:numPr>
        <w:tabs>
          <w:tab w:pos="1251" w:val="left" w:leader="none"/>
          <w:tab w:pos="1252" w:val="left" w:leader="none"/>
        </w:tabs>
        <w:spacing w:line="240" w:lineRule="auto" w:before="4" w:after="0"/>
        <w:ind w:left="1251" w:right="0" w:hanging="371"/>
        <w:jc w:val="left"/>
        <w:rPr>
          <w:b/>
          <w:sz w:val="20"/>
        </w:rPr>
      </w:pPr>
      <w:r>
        <w:rPr>
          <w:b/>
          <w:sz w:val="20"/>
        </w:rPr>
        <w:t>Airline ticket must be purchased 21-days in advance. Proof of 21-day purchase is</w:t>
      </w:r>
      <w:r>
        <w:rPr>
          <w:b/>
          <w:spacing w:val="-17"/>
          <w:sz w:val="20"/>
        </w:rPr>
        <w:t> </w:t>
      </w:r>
      <w:r>
        <w:rPr>
          <w:b/>
          <w:sz w:val="20"/>
        </w:rPr>
        <w:t>required.</w:t>
      </w:r>
    </w:p>
    <w:p>
      <w:pPr>
        <w:pStyle w:val="BodyText"/>
        <w:spacing w:before="10"/>
        <w:rPr>
          <w:b/>
          <w:sz w:val="32"/>
        </w:rPr>
      </w:pPr>
    </w:p>
    <w:p>
      <w:pPr>
        <w:spacing w:line="247" w:lineRule="auto" w:before="0"/>
        <w:ind w:left="161" w:right="0" w:firstLine="0"/>
        <w:jc w:val="left"/>
        <w:rPr>
          <w:b/>
          <w:sz w:val="16"/>
        </w:rPr>
      </w:pPr>
      <w:r>
        <w:rPr>
          <w:b/>
          <w:sz w:val="16"/>
        </w:rPr>
        <w:t>*On May 9, 2003, the Labor &amp; Employment Law Section voted to increase the maximum reimbursement of actual expenses for Labor Certification Committee Members to $300.</w:t>
      </w:r>
    </w:p>
    <w:sectPr>
      <w:pgSz w:w="12240" w:h="15840"/>
      <w:pgMar w:top="800" w:bottom="280" w:left="128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Unicode">
    <w:altName w:val="Lucida Sans Unicode"/>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242" w:hanging="360"/>
        <w:jc w:val="left"/>
      </w:pPr>
      <w:rPr>
        <w:rFonts w:hint="default" w:ascii="Times New Roman" w:hAnsi="Times New Roman" w:eastAsia="Times New Roman" w:cs="Times New Roman"/>
        <w:b/>
        <w:bCs/>
        <w:spacing w:val="-7"/>
        <w:w w:val="100"/>
        <w:sz w:val="20"/>
        <w:szCs w:val="20"/>
        <w:lang w:val="en-US" w:eastAsia="en-US" w:bidi="en-US"/>
      </w:rPr>
    </w:lvl>
    <w:lvl w:ilvl="1">
      <w:start w:val="0"/>
      <w:numFmt w:val="bullet"/>
      <w:lvlText w:val="•"/>
      <w:lvlJc w:val="left"/>
      <w:pPr>
        <w:ind w:left="2090" w:hanging="360"/>
      </w:pPr>
      <w:rPr>
        <w:rFonts w:hint="default"/>
        <w:lang w:val="en-US" w:eastAsia="en-US" w:bidi="en-US"/>
      </w:rPr>
    </w:lvl>
    <w:lvl w:ilvl="2">
      <w:start w:val="0"/>
      <w:numFmt w:val="bullet"/>
      <w:lvlText w:val="•"/>
      <w:lvlJc w:val="left"/>
      <w:pPr>
        <w:ind w:left="2940" w:hanging="360"/>
      </w:pPr>
      <w:rPr>
        <w:rFonts w:hint="default"/>
        <w:lang w:val="en-US" w:eastAsia="en-US" w:bidi="en-US"/>
      </w:rPr>
    </w:lvl>
    <w:lvl w:ilvl="3">
      <w:start w:val="0"/>
      <w:numFmt w:val="bullet"/>
      <w:lvlText w:val="•"/>
      <w:lvlJc w:val="left"/>
      <w:pPr>
        <w:ind w:left="3790" w:hanging="360"/>
      </w:pPr>
      <w:rPr>
        <w:rFonts w:hint="default"/>
        <w:lang w:val="en-US" w:eastAsia="en-US" w:bidi="en-US"/>
      </w:rPr>
    </w:lvl>
    <w:lvl w:ilvl="4">
      <w:start w:val="0"/>
      <w:numFmt w:val="bullet"/>
      <w:lvlText w:val="•"/>
      <w:lvlJc w:val="left"/>
      <w:pPr>
        <w:ind w:left="4640" w:hanging="360"/>
      </w:pPr>
      <w:rPr>
        <w:rFonts w:hint="default"/>
        <w:lang w:val="en-US" w:eastAsia="en-US" w:bidi="en-US"/>
      </w:rPr>
    </w:lvl>
    <w:lvl w:ilvl="5">
      <w:start w:val="0"/>
      <w:numFmt w:val="bullet"/>
      <w:lvlText w:val="•"/>
      <w:lvlJc w:val="left"/>
      <w:pPr>
        <w:ind w:left="5490" w:hanging="360"/>
      </w:pPr>
      <w:rPr>
        <w:rFonts w:hint="default"/>
        <w:lang w:val="en-US" w:eastAsia="en-US" w:bidi="en-US"/>
      </w:rPr>
    </w:lvl>
    <w:lvl w:ilvl="6">
      <w:start w:val="0"/>
      <w:numFmt w:val="bullet"/>
      <w:lvlText w:val="•"/>
      <w:lvlJc w:val="left"/>
      <w:pPr>
        <w:ind w:left="6340" w:hanging="360"/>
      </w:pPr>
      <w:rPr>
        <w:rFonts w:hint="default"/>
        <w:lang w:val="en-US" w:eastAsia="en-US" w:bidi="en-US"/>
      </w:rPr>
    </w:lvl>
    <w:lvl w:ilvl="7">
      <w:start w:val="0"/>
      <w:numFmt w:val="bullet"/>
      <w:lvlText w:val="•"/>
      <w:lvlJc w:val="left"/>
      <w:pPr>
        <w:ind w:left="7190" w:hanging="360"/>
      </w:pPr>
      <w:rPr>
        <w:rFonts w:hint="default"/>
        <w:lang w:val="en-US" w:eastAsia="en-US" w:bidi="en-US"/>
      </w:rPr>
    </w:lvl>
    <w:lvl w:ilvl="8">
      <w:start w:val="0"/>
      <w:numFmt w:val="bullet"/>
      <w:lvlText w:val="•"/>
      <w:lvlJc w:val="left"/>
      <w:pPr>
        <w:ind w:left="8040" w:hanging="360"/>
      </w:pPr>
      <w:rPr>
        <w:rFonts w:hint="default"/>
        <w:lang w:val="en-US" w:eastAsia="en-US" w:bidi="en-US"/>
      </w:rPr>
    </w:lvl>
  </w:abstractNum>
  <w:abstractNum w:abstractNumId="1">
    <w:multiLevelType w:val="hybridMultilevel"/>
    <w:lvl w:ilvl="0">
      <w:start w:val="5"/>
      <w:numFmt w:val="decimal"/>
      <w:lvlText w:val="(%1)"/>
      <w:lvlJc w:val="left"/>
      <w:pPr>
        <w:ind w:left="1218" w:hanging="336"/>
        <w:jc w:val="left"/>
      </w:pPr>
      <w:rPr>
        <w:rFonts w:hint="default"/>
        <w:spacing w:val="-6"/>
        <w:w w:val="100"/>
        <w:lang w:val="en-US" w:eastAsia="en-US" w:bidi="en-US"/>
      </w:rPr>
    </w:lvl>
    <w:lvl w:ilvl="1">
      <w:start w:val="1"/>
      <w:numFmt w:val="upperLetter"/>
      <w:lvlText w:val="(%2)"/>
      <w:lvlJc w:val="left"/>
      <w:pPr>
        <w:ind w:left="1259" w:hanging="378"/>
        <w:jc w:val="left"/>
      </w:pPr>
      <w:rPr>
        <w:rFonts w:hint="default" w:ascii="Times New Roman" w:hAnsi="Times New Roman" w:eastAsia="Times New Roman" w:cs="Times New Roman"/>
        <w:spacing w:val="-3"/>
        <w:w w:val="100"/>
        <w:sz w:val="20"/>
        <w:szCs w:val="20"/>
        <w:lang w:val="en-US" w:eastAsia="en-US" w:bidi="en-US"/>
      </w:rPr>
    </w:lvl>
    <w:lvl w:ilvl="2">
      <w:start w:val="0"/>
      <w:numFmt w:val="bullet"/>
      <w:lvlText w:val="•"/>
      <w:lvlJc w:val="left"/>
      <w:pPr>
        <w:ind w:left="2202" w:hanging="378"/>
      </w:pPr>
      <w:rPr>
        <w:rFonts w:hint="default"/>
        <w:lang w:val="en-US" w:eastAsia="en-US" w:bidi="en-US"/>
      </w:rPr>
    </w:lvl>
    <w:lvl w:ilvl="3">
      <w:start w:val="0"/>
      <w:numFmt w:val="bullet"/>
      <w:lvlText w:val="•"/>
      <w:lvlJc w:val="left"/>
      <w:pPr>
        <w:ind w:left="3144" w:hanging="378"/>
      </w:pPr>
      <w:rPr>
        <w:rFonts w:hint="default"/>
        <w:lang w:val="en-US" w:eastAsia="en-US" w:bidi="en-US"/>
      </w:rPr>
    </w:lvl>
    <w:lvl w:ilvl="4">
      <w:start w:val="0"/>
      <w:numFmt w:val="bullet"/>
      <w:lvlText w:val="•"/>
      <w:lvlJc w:val="left"/>
      <w:pPr>
        <w:ind w:left="4086" w:hanging="378"/>
      </w:pPr>
      <w:rPr>
        <w:rFonts w:hint="default"/>
        <w:lang w:val="en-US" w:eastAsia="en-US" w:bidi="en-US"/>
      </w:rPr>
    </w:lvl>
    <w:lvl w:ilvl="5">
      <w:start w:val="0"/>
      <w:numFmt w:val="bullet"/>
      <w:lvlText w:val="•"/>
      <w:lvlJc w:val="left"/>
      <w:pPr>
        <w:ind w:left="5028" w:hanging="378"/>
      </w:pPr>
      <w:rPr>
        <w:rFonts w:hint="default"/>
        <w:lang w:val="en-US" w:eastAsia="en-US" w:bidi="en-US"/>
      </w:rPr>
    </w:lvl>
    <w:lvl w:ilvl="6">
      <w:start w:val="0"/>
      <w:numFmt w:val="bullet"/>
      <w:lvlText w:val="•"/>
      <w:lvlJc w:val="left"/>
      <w:pPr>
        <w:ind w:left="5971" w:hanging="378"/>
      </w:pPr>
      <w:rPr>
        <w:rFonts w:hint="default"/>
        <w:lang w:val="en-US" w:eastAsia="en-US" w:bidi="en-US"/>
      </w:rPr>
    </w:lvl>
    <w:lvl w:ilvl="7">
      <w:start w:val="0"/>
      <w:numFmt w:val="bullet"/>
      <w:lvlText w:val="•"/>
      <w:lvlJc w:val="left"/>
      <w:pPr>
        <w:ind w:left="6913" w:hanging="378"/>
      </w:pPr>
      <w:rPr>
        <w:rFonts w:hint="default"/>
        <w:lang w:val="en-US" w:eastAsia="en-US" w:bidi="en-US"/>
      </w:rPr>
    </w:lvl>
    <w:lvl w:ilvl="8">
      <w:start w:val="0"/>
      <w:numFmt w:val="bullet"/>
      <w:lvlText w:val="•"/>
      <w:lvlJc w:val="left"/>
      <w:pPr>
        <w:ind w:left="7855" w:hanging="378"/>
      </w:pPr>
      <w:rPr>
        <w:rFonts w:hint="default"/>
        <w:lang w:val="en-US" w:eastAsia="en-US" w:bidi="en-US"/>
      </w:rPr>
    </w:lvl>
  </w:abstractNum>
  <w:abstractNum w:abstractNumId="0">
    <w:multiLevelType w:val="hybridMultilevel"/>
    <w:lvl w:ilvl="0">
      <w:start w:val="5"/>
      <w:numFmt w:val="lowerLetter"/>
      <w:lvlText w:val="(%1)"/>
      <w:lvlJc w:val="left"/>
      <w:pPr>
        <w:ind w:left="882" w:hanging="328"/>
        <w:jc w:val="left"/>
      </w:pPr>
      <w:rPr>
        <w:rFonts w:hint="default" w:ascii="Times New Roman" w:hAnsi="Times New Roman" w:eastAsia="Times New Roman" w:cs="Times New Roman"/>
        <w:b/>
        <w:bCs/>
        <w:spacing w:val="-19"/>
        <w:w w:val="100"/>
        <w:sz w:val="20"/>
        <w:szCs w:val="20"/>
        <w:lang w:val="en-US" w:eastAsia="en-US" w:bidi="en-US"/>
      </w:rPr>
    </w:lvl>
    <w:lvl w:ilvl="1">
      <w:start w:val="0"/>
      <w:numFmt w:val="bullet"/>
      <w:lvlText w:val="•"/>
      <w:lvlJc w:val="left"/>
      <w:pPr>
        <w:ind w:left="1766" w:hanging="328"/>
      </w:pPr>
      <w:rPr>
        <w:rFonts w:hint="default"/>
        <w:lang w:val="en-US" w:eastAsia="en-US" w:bidi="en-US"/>
      </w:rPr>
    </w:lvl>
    <w:lvl w:ilvl="2">
      <w:start w:val="0"/>
      <w:numFmt w:val="bullet"/>
      <w:lvlText w:val="•"/>
      <w:lvlJc w:val="left"/>
      <w:pPr>
        <w:ind w:left="2652" w:hanging="328"/>
      </w:pPr>
      <w:rPr>
        <w:rFonts w:hint="default"/>
        <w:lang w:val="en-US" w:eastAsia="en-US" w:bidi="en-US"/>
      </w:rPr>
    </w:lvl>
    <w:lvl w:ilvl="3">
      <w:start w:val="0"/>
      <w:numFmt w:val="bullet"/>
      <w:lvlText w:val="•"/>
      <w:lvlJc w:val="left"/>
      <w:pPr>
        <w:ind w:left="3538" w:hanging="328"/>
      </w:pPr>
      <w:rPr>
        <w:rFonts w:hint="default"/>
        <w:lang w:val="en-US" w:eastAsia="en-US" w:bidi="en-US"/>
      </w:rPr>
    </w:lvl>
    <w:lvl w:ilvl="4">
      <w:start w:val="0"/>
      <w:numFmt w:val="bullet"/>
      <w:lvlText w:val="•"/>
      <w:lvlJc w:val="left"/>
      <w:pPr>
        <w:ind w:left="4424" w:hanging="328"/>
      </w:pPr>
      <w:rPr>
        <w:rFonts w:hint="default"/>
        <w:lang w:val="en-US" w:eastAsia="en-US" w:bidi="en-US"/>
      </w:rPr>
    </w:lvl>
    <w:lvl w:ilvl="5">
      <w:start w:val="0"/>
      <w:numFmt w:val="bullet"/>
      <w:lvlText w:val="•"/>
      <w:lvlJc w:val="left"/>
      <w:pPr>
        <w:ind w:left="5310" w:hanging="328"/>
      </w:pPr>
      <w:rPr>
        <w:rFonts w:hint="default"/>
        <w:lang w:val="en-US" w:eastAsia="en-US" w:bidi="en-US"/>
      </w:rPr>
    </w:lvl>
    <w:lvl w:ilvl="6">
      <w:start w:val="0"/>
      <w:numFmt w:val="bullet"/>
      <w:lvlText w:val="•"/>
      <w:lvlJc w:val="left"/>
      <w:pPr>
        <w:ind w:left="6196" w:hanging="328"/>
      </w:pPr>
      <w:rPr>
        <w:rFonts w:hint="default"/>
        <w:lang w:val="en-US" w:eastAsia="en-US" w:bidi="en-US"/>
      </w:rPr>
    </w:lvl>
    <w:lvl w:ilvl="7">
      <w:start w:val="0"/>
      <w:numFmt w:val="bullet"/>
      <w:lvlText w:val="•"/>
      <w:lvlJc w:val="left"/>
      <w:pPr>
        <w:ind w:left="7082" w:hanging="328"/>
      </w:pPr>
      <w:rPr>
        <w:rFonts w:hint="default"/>
        <w:lang w:val="en-US" w:eastAsia="en-US" w:bidi="en-US"/>
      </w:rPr>
    </w:lvl>
    <w:lvl w:ilvl="8">
      <w:start w:val="0"/>
      <w:numFmt w:val="bullet"/>
      <w:lvlText w:val="•"/>
      <w:lvlJc w:val="left"/>
      <w:pPr>
        <w:ind w:left="7968" w:hanging="328"/>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Heading1" w:type="paragraph">
    <w:name w:val="Heading 1"/>
    <w:basedOn w:val="Normal"/>
    <w:uiPriority w:val="1"/>
    <w:qFormat/>
    <w:pPr>
      <w:spacing w:line="487" w:lineRule="exact"/>
      <w:ind w:right="55"/>
      <w:jc w:val="center"/>
      <w:outlineLvl w:val="1"/>
    </w:pPr>
    <w:rPr>
      <w:rFonts w:ascii="Lucida Sans Unicode" w:hAnsi="Lucida Sans Unicode" w:eastAsia="Lucida Sans Unicode" w:cs="Lucida Sans Unicode"/>
      <w:sz w:val="36"/>
      <w:szCs w:val="36"/>
      <w:lang w:val="en-US" w:eastAsia="en-US" w:bidi="en-US"/>
    </w:rPr>
  </w:style>
  <w:style w:styleId="Heading2" w:type="paragraph">
    <w:name w:val="Heading 2"/>
    <w:basedOn w:val="Normal"/>
    <w:uiPriority w:val="1"/>
    <w:qFormat/>
    <w:pPr>
      <w:ind w:left="161"/>
      <w:jc w:val="both"/>
      <w:outlineLvl w:val="2"/>
    </w:pPr>
    <w:rPr>
      <w:rFonts w:ascii="Times New Roman" w:hAnsi="Times New Roman" w:eastAsia="Times New Roman" w:cs="Times New Roman"/>
      <w:sz w:val="24"/>
      <w:szCs w:val="24"/>
      <w:lang w:val="en-US" w:eastAsia="en-US" w:bidi="en-US"/>
    </w:rPr>
  </w:style>
  <w:style w:styleId="Heading3" w:type="paragraph">
    <w:name w:val="Heading 3"/>
    <w:basedOn w:val="Normal"/>
    <w:uiPriority w:val="1"/>
    <w:qFormat/>
    <w:pPr>
      <w:spacing w:before="1"/>
      <w:ind w:left="161"/>
      <w:outlineLvl w:val="3"/>
    </w:pPr>
    <w:rPr>
      <w:rFonts w:ascii="Arial" w:hAnsi="Arial" w:eastAsia="Arial" w:cs="Arial"/>
      <w:sz w:val="22"/>
      <w:szCs w:val="22"/>
      <w:lang w:val="en-US" w:eastAsia="en-US" w:bidi="en-US"/>
    </w:rPr>
  </w:style>
  <w:style w:styleId="Heading4" w:type="paragraph">
    <w:name w:val="Heading 4"/>
    <w:basedOn w:val="Normal"/>
    <w:uiPriority w:val="1"/>
    <w:qFormat/>
    <w:pPr>
      <w:ind w:left="881"/>
      <w:outlineLvl w:val="4"/>
    </w:pPr>
    <w:rPr>
      <w:rFonts w:ascii="Times New Roman" w:hAnsi="Times New Roman" w:eastAsia="Times New Roman" w:cs="Times New Roman"/>
      <w:b/>
      <w:bCs/>
      <w:sz w:val="20"/>
      <w:szCs w:val="20"/>
      <w:lang w:val="en-US" w:eastAsia="en-US" w:bidi="en-US"/>
    </w:rPr>
  </w:style>
  <w:style w:styleId="ListParagraph" w:type="paragraph">
    <w:name w:val="List Paragraph"/>
    <w:basedOn w:val="Normal"/>
    <w:uiPriority w:val="1"/>
    <w:qFormat/>
    <w:pPr>
      <w:ind w:left="881"/>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line="234" w:lineRule="exac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afroelic@flabar.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afroelic</dc:creator>
  <dc:title>The Florida Bar</dc:title>
  <dcterms:created xsi:type="dcterms:W3CDTF">2019-04-22T19:45:41Z</dcterms:created>
  <dcterms:modified xsi:type="dcterms:W3CDTF">2019-04-22T19:45:41Z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2017-02-02T00:00:00Z</vt:filetime>
  </property>
  <property fmtid="{D5CDD505-2E9C-101B-9397-08002B2CF9AE}" pid="3" name="Creator">
    <vt:lpwstr>Writer</vt:lpwstr>
  </property>
  <property fmtid="{D5CDD505-2E9C-101B-9397-08002B2CF9AE}" pid="4" name="LastSaved">
    <vt:filetime>2017-02-02T00:00:00Z</vt:filetime>
  </property>
</Properties>
</file>