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49"/>
        <w:ind w:left="848" w:right="0" w:firstLine="0"/>
        <w:jc w:val="left"/>
        <w:rPr>
          <w:rFonts w:ascii="Calibri"/>
          <w:b/>
          <w:sz w:val="62"/>
        </w:rPr>
      </w:pPr>
      <w:r>
        <w:rPr>
          <w:rFonts w:ascii="Calibri"/>
          <w:b/>
          <w:color w:val="26337B"/>
          <w:sz w:val="62"/>
        </w:rPr>
        <w:t>2018 -2019 Audio Webcast Series (2957)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after="0"/>
        <w:rPr>
          <w:rFonts w:ascii="Calibri"/>
          <w:sz w:val="22"/>
        </w:rPr>
        <w:sectPr>
          <w:type w:val="continuous"/>
          <w:pgSz w:w="12240" w:h="15840"/>
          <w:pgMar w:top="300" w:bottom="280" w:left="0" w:right="0"/>
        </w:sectPr>
      </w:pPr>
    </w:p>
    <w:p>
      <w:pPr>
        <w:pStyle w:val="Heading1"/>
        <w:spacing w:before="106"/>
        <w:ind w:left="539"/>
      </w:pPr>
      <w:r>
        <w:rPr/>
        <w:pict>
          <v:group style="position:absolute;margin-left:0pt;margin-top:-5.408118pt;width:612pt;height:472.8pt;mso-position-horizontal-relative:page;mso-position-vertical-relative:paragraph;z-index:-251783168" coordorigin="0,-108" coordsize="12240,9456">
            <v:line style="position:absolute" from="0,-78" to="12240,-78" stroked="true" strokeweight="3pt" strokecolor="#26337b">
              <v:stroke dashstyle="solid"/>
            </v:line>
            <v:line style="position:absolute" from="6120,-78" to="6120,9347" stroked="true" strokeweight="1.5pt" strokecolor="#26337b">
              <v:stroke dashstyle="solid"/>
            </v:line>
            <w10:wrap type="none"/>
          </v:group>
        </w:pict>
      </w:r>
      <w:r>
        <w:rPr>
          <w:color w:val="231F20"/>
          <w:u w:val="single" w:color="231F20"/>
        </w:rPr>
        <w:t>October 10, 2018</w:t>
      </w:r>
    </w:p>
    <w:p>
      <w:pPr>
        <w:pStyle w:val="BodyText"/>
        <w:spacing w:before="41"/>
        <w:ind w:left="539"/>
        <w:jc w:val="center"/>
      </w:pPr>
      <w:r>
        <w:rPr>
          <w:color w:val="231F20"/>
        </w:rPr>
        <w:t>12:00 noon – 12:50 p.m. (2883)</w:t>
      </w:r>
    </w:p>
    <w:p>
      <w:pPr>
        <w:pStyle w:val="Heading1"/>
        <w:spacing w:line="242" w:lineRule="auto" w:before="53"/>
        <w:ind w:left="542"/>
      </w:pPr>
      <w:hyperlink r:id="rId5">
        <w:r>
          <w:rPr>
            <w:color w:val="40AD49"/>
          </w:rPr>
          <w:t>Update on Gender Discrimination: The New</w:t>
        </w:r>
      </w:hyperlink>
      <w:r>
        <w:rPr>
          <w:color w:val="40AD49"/>
        </w:rPr>
        <w:t> </w:t>
      </w:r>
      <w:hyperlink r:id="rId5">
        <w:r>
          <w:rPr>
            <w:color w:val="40AD49"/>
          </w:rPr>
          <w:t>Gender Equality</w:t>
        </w:r>
      </w:hyperlink>
    </w:p>
    <w:p>
      <w:pPr>
        <w:pStyle w:val="BodyText"/>
        <w:spacing w:line="249" w:lineRule="auto" w:before="40"/>
        <w:ind w:left="540"/>
        <w:jc w:val="both"/>
      </w:pP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discussion</w:t>
      </w:r>
      <w:r>
        <w:rPr>
          <w:color w:val="231F20"/>
          <w:spacing w:val="-32"/>
        </w:rPr>
        <w:t> </w:t>
      </w:r>
      <w:r>
        <w:rPr>
          <w:color w:val="231F20"/>
        </w:rPr>
        <w:t>will</w:t>
      </w:r>
      <w:r>
        <w:rPr>
          <w:color w:val="231F20"/>
          <w:spacing w:val="-33"/>
        </w:rPr>
        <w:t> </w:t>
      </w:r>
      <w:r>
        <w:rPr>
          <w:color w:val="231F20"/>
        </w:rPr>
        <w:t>include</w:t>
      </w:r>
      <w:r>
        <w:rPr>
          <w:color w:val="231F20"/>
          <w:spacing w:val="-32"/>
        </w:rPr>
        <w:t> </w:t>
      </w:r>
      <w:r>
        <w:rPr>
          <w:color w:val="231F20"/>
        </w:rPr>
        <w:t>legal</w:t>
      </w:r>
      <w:r>
        <w:rPr>
          <w:color w:val="231F20"/>
          <w:spacing w:val="-33"/>
        </w:rPr>
        <w:t> </w:t>
      </w:r>
      <w:r>
        <w:rPr>
          <w:color w:val="231F20"/>
        </w:rPr>
        <w:t>issues</w:t>
      </w:r>
      <w:r>
        <w:rPr>
          <w:color w:val="231F20"/>
          <w:spacing w:val="-32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LGBTQ+</w:t>
      </w:r>
      <w:r>
        <w:rPr>
          <w:color w:val="231F20"/>
          <w:spacing w:val="-32"/>
        </w:rPr>
        <w:t> </w:t>
      </w:r>
      <w:r>
        <w:rPr>
          <w:color w:val="231F20"/>
        </w:rPr>
        <w:t>individuals; rights and changes in how courts view discrimination </w:t>
      </w:r>
      <w:r>
        <w:rPr>
          <w:color w:val="231F20"/>
          <w:spacing w:val="-4"/>
        </w:rPr>
        <w:t>claims </w:t>
      </w:r>
      <w:r>
        <w:rPr>
          <w:color w:val="231F20"/>
        </w:rPr>
        <w:t>and the </w:t>
      </w:r>
      <w:r>
        <w:rPr>
          <w:color w:val="231F20"/>
          <w:spacing w:val="-6"/>
        </w:rPr>
        <w:t>Tale </w:t>
      </w:r>
      <w:r>
        <w:rPr>
          <w:color w:val="231F20"/>
        </w:rPr>
        <w:t>of the Baker – the new balancing test; </w:t>
      </w:r>
      <w:r>
        <w:rPr>
          <w:color w:val="231F20"/>
          <w:spacing w:val="-3"/>
        </w:rPr>
        <w:t>Florida’s </w:t>
      </w:r>
      <w:r>
        <w:rPr>
          <w:color w:val="231F20"/>
        </w:rPr>
        <w:t>Competitive</w:t>
      </w:r>
      <w:r>
        <w:rPr>
          <w:color w:val="231F20"/>
          <w:spacing w:val="-9"/>
        </w:rPr>
        <w:t> </w:t>
      </w:r>
      <w:r>
        <w:rPr>
          <w:color w:val="231F20"/>
        </w:rPr>
        <w:t>Workforce</w:t>
      </w:r>
      <w:r>
        <w:rPr>
          <w:color w:val="231F20"/>
          <w:spacing w:val="-19"/>
        </w:rPr>
        <w:t> </w:t>
      </w:r>
      <w:r>
        <w:rPr>
          <w:color w:val="231F20"/>
        </w:rPr>
        <w:t>Act;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status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local</w:t>
      </w:r>
      <w:r>
        <w:rPr>
          <w:color w:val="231F20"/>
          <w:spacing w:val="-8"/>
        </w:rPr>
        <w:t> </w:t>
      </w:r>
      <w:r>
        <w:rPr>
          <w:color w:val="231F20"/>
        </w:rPr>
        <w:t>protections around the state.</w:t>
      </w:r>
    </w:p>
    <w:p>
      <w:pPr>
        <w:spacing w:line="249" w:lineRule="auto" w:before="44"/>
        <w:ind w:left="720" w:right="936" w:hanging="180"/>
        <w:jc w:val="both"/>
        <w:rPr>
          <w:i/>
          <w:sz w:val="20"/>
        </w:rPr>
      </w:pPr>
      <w:r>
        <w:rPr>
          <w:i/>
          <w:color w:val="231F20"/>
          <w:sz w:val="20"/>
        </w:rPr>
        <w:t>Lindsey </w:t>
      </w:r>
      <w:r>
        <w:rPr>
          <w:i/>
          <w:color w:val="231F20"/>
          <w:spacing w:val="-3"/>
          <w:sz w:val="20"/>
        </w:rPr>
        <w:t>Wagner, </w:t>
      </w:r>
      <w:r>
        <w:rPr>
          <w:i/>
          <w:color w:val="231F20"/>
          <w:sz w:val="20"/>
        </w:rPr>
        <w:t>Scott Wagner &amp; Associates, </w:t>
      </w:r>
      <w:r>
        <w:rPr>
          <w:i/>
          <w:color w:val="231F20"/>
          <w:spacing w:val="-10"/>
          <w:sz w:val="20"/>
        </w:rPr>
        <w:t>P.A., </w:t>
      </w:r>
      <w:r>
        <w:rPr>
          <w:i/>
          <w:color w:val="231F20"/>
          <w:sz w:val="20"/>
        </w:rPr>
        <w:t>Jupiter, FL and Burbank, CA</w:t>
      </w:r>
    </w:p>
    <w:p>
      <w:pPr>
        <w:spacing w:before="1"/>
        <w:ind w:left="540" w:right="0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Jon Harris Maurer, Equality Florida, Tallahassee</w:t>
      </w:r>
    </w:p>
    <w:p>
      <w:pPr>
        <w:pStyle w:val="BodyText"/>
        <w:spacing w:before="8"/>
        <w:rPr>
          <w:i/>
          <w:sz w:val="22"/>
        </w:rPr>
      </w:pPr>
    </w:p>
    <w:p>
      <w:pPr>
        <w:pStyle w:val="Heading1"/>
        <w:ind w:left="539"/>
      </w:pPr>
      <w:r>
        <w:rPr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>November 7, 2018</w:t>
      </w:r>
    </w:p>
    <w:p>
      <w:pPr>
        <w:pStyle w:val="BodyText"/>
        <w:spacing w:before="42"/>
        <w:ind w:left="539"/>
        <w:jc w:val="center"/>
      </w:pPr>
      <w:r>
        <w:rPr>
          <w:color w:val="231F20"/>
        </w:rPr>
        <w:t>12:00 noon – 12:50 p.m. (2884)</w:t>
      </w:r>
    </w:p>
    <w:p>
      <w:pPr>
        <w:pStyle w:val="Heading1"/>
        <w:spacing w:line="242" w:lineRule="auto" w:before="52"/>
        <w:ind w:left="541"/>
      </w:pPr>
      <w:hyperlink r:id="rId6">
        <w:r>
          <w:rPr>
            <w:color w:val="40AD49"/>
          </w:rPr>
          <w:t>The Intersection of Medical Marijuana and</w:t>
        </w:r>
      </w:hyperlink>
      <w:r>
        <w:rPr>
          <w:color w:val="40AD49"/>
        </w:rPr>
        <w:t> </w:t>
      </w:r>
      <w:hyperlink r:id="rId6">
        <w:r>
          <w:rPr>
            <w:color w:val="40AD49"/>
          </w:rPr>
          <w:t>Employment Law</w:t>
        </w:r>
      </w:hyperlink>
    </w:p>
    <w:p>
      <w:pPr>
        <w:pStyle w:val="BodyText"/>
        <w:spacing w:line="249" w:lineRule="auto" w:before="40"/>
        <w:ind w:left="540"/>
        <w:jc w:val="both"/>
      </w:pPr>
      <w:r>
        <w:rPr>
          <w:color w:val="231F20"/>
        </w:rPr>
        <w:t>Learn about the new regulations and how employers </w:t>
      </w:r>
      <w:r>
        <w:rPr>
          <w:color w:val="231F20"/>
          <w:spacing w:val="-3"/>
        </w:rPr>
        <w:t>should </w:t>
      </w:r>
      <w:r>
        <w:rPr>
          <w:color w:val="231F20"/>
        </w:rPr>
        <w:t>respond to employees with prescriptions for marijuana. </w:t>
      </w:r>
      <w:r>
        <w:rPr>
          <w:color w:val="231F20"/>
          <w:spacing w:val="-6"/>
        </w:rPr>
        <w:t>The </w:t>
      </w:r>
      <w:r>
        <w:rPr>
          <w:color w:val="231F20"/>
        </w:rPr>
        <w:t>do's and don'ts for companies will be discussed, as well </w:t>
      </w:r>
      <w:r>
        <w:rPr>
          <w:color w:val="231F20"/>
          <w:spacing w:val="-10"/>
        </w:rPr>
        <w:t>as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rights</w:t>
      </w:r>
      <w:r>
        <w:rPr>
          <w:color w:val="231F20"/>
          <w:spacing w:val="-5"/>
        </w:rPr>
        <w:t> </w:t>
      </w:r>
      <w:r>
        <w:rPr>
          <w:color w:val="231F20"/>
        </w:rPr>
        <w:t>employees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medical</w:t>
      </w:r>
      <w:r>
        <w:rPr>
          <w:color w:val="231F20"/>
          <w:spacing w:val="-5"/>
        </w:rPr>
        <w:t> </w:t>
      </w:r>
      <w:r>
        <w:rPr>
          <w:color w:val="231F20"/>
        </w:rPr>
        <w:t>marijuana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under </w:t>
      </w:r>
      <w:r>
        <w:rPr>
          <w:color w:val="231F20"/>
        </w:rPr>
        <w:t>federal and state</w:t>
      </w:r>
      <w:r>
        <w:rPr>
          <w:color w:val="231F20"/>
          <w:spacing w:val="-1"/>
        </w:rPr>
        <w:t> </w:t>
      </w:r>
      <w:r>
        <w:rPr>
          <w:color w:val="231F20"/>
        </w:rPr>
        <w:t>laws.</w:t>
      </w:r>
    </w:p>
    <w:p>
      <w:pPr>
        <w:spacing w:line="249" w:lineRule="auto" w:before="44"/>
        <w:ind w:left="540" w:right="1374" w:firstLine="0"/>
        <w:jc w:val="both"/>
        <w:rPr>
          <w:i/>
          <w:sz w:val="20"/>
        </w:rPr>
      </w:pPr>
      <w:r>
        <w:rPr>
          <w:i/>
          <w:color w:val="231F20"/>
          <w:sz w:val="20"/>
        </w:rPr>
        <w:t>Richard Blau, Gray Robinson, Tampa, FL </w:t>
      </w:r>
      <w:r>
        <w:rPr>
          <w:i/>
          <w:color w:val="231F20"/>
          <w:sz w:val="20"/>
        </w:rPr>
        <w:t>Marlene Quintana, Gray Robinson, Miami, FL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Heading1"/>
        <w:ind w:left="539"/>
      </w:pPr>
      <w:r>
        <w:rPr>
          <w:color w:val="231F20"/>
          <w:u w:val="single" w:color="231F20"/>
        </w:rPr>
        <w:t>December 5, 2018</w:t>
      </w:r>
    </w:p>
    <w:p>
      <w:pPr>
        <w:pStyle w:val="BodyText"/>
        <w:spacing w:before="41"/>
        <w:ind w:left="539"/>
        <w:jc w:val="center"/>
      </w:pPr>
      <w:r>
        <w:rPr>
          <w:color w:val="231F20"/>
        </w:rPr>
        <w:t>12:00 noon – 12:50 p.m. (2885)</w:t>
      </w:r>
    </w:p>
    <w:p>
      <w:pPr>
        <w:spacing w:line="254" w:lineRule="auto" w:before="53"/>
        <w:ind w:left="540" w:right="0" w:hanging="1"/>
        <w:jc w:val="center"/>
        <w:rPr>
          <w:sz w:val="20"/>
        </w:rPr>
      </w:pPr>
      <w:hyperlink r:id="rId7">
        <w:r>
          <w:rPr>
            <w:b/>
            <w:color w:val="40AD49"/>
            <w:sz w:val="24"/>
          </w:rPr>
          <w:t>Be in the Know: Highlights of Executive</w:t>
        </w:r>
      </w:hyperlink>
      <w:r>
        <w:rPr>
          <w:b/>
          <w:color w:val="40AD49"/>
          <w:sz w:val="24"/>
        </w:rPr>
        <w:t> </w:t>
      </w:r>
      <w:hyperlink r:id="rId7">
        <w:r>
          <w:rPr>
            <w:b/>
            <w:color w:val="40AD49"/>
            <w:sz w:val="24"/>
          </w:rPr>
          <w:t>Compensation for Employment Agreements</w:t>
        </w:r>
      </w:hyperlink>
      <w:r>
        <w:rPr>
          <w:b/>
          <w:color w:val="40AD49"/>
          <w:sz w:val="24"/>
        </w:rPr>
        <w:t> </w:t>
      </w:r>
      <w:r>
        <w:rPr>
          <w:color w:val="231F20"/>
          <w:sz w:val="20"/>
        </w:rPr>
        <w:t>This presentation will cover appropriate contract provisions to consider in drafting executive employment agreements; executive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clawbacks;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Section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83(i);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impact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8"/>
          <w:sz w:val="20"/>
        </w:rPr>
        <w:t>of </w:t>
      </w:r>
      <w:r>
        <w:rPr>
          <w:color w:val="231F20"/>
          <w:sz w:val="20"/>
        </w:rPr>
        <w:t>tax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reform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designing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competitive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compensation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packages.</w:t>
      </w:r>
    </w:p>
    <w:p>
      <w:pPr>
        <w:spacing w:before="37"/>
        <w:ind w:left="506" w:right="1148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Thomas Hickey, Gunster, West Palm Beach, FL</w:t>
      </w:r>
    </w:p>
    <w:p>
      <w:pPr>
        <w:pStyle w:val="Heading1"/>
        <w:spacing w:before="106"/>
        <w:ind w:right="597"/>
      </w:pPr>
      <w:r>
        <w:rPr>
          <w:b w:val="0"/>
        </w:rPr>
        <w:br w:type="column"/>
      </w:r>
      <w:r>
        <w:rPr>
          <w:color w:val="231F20"/>
          <w:u w:val="single" w:color="231F20"/>
        </w:rPr>
        <w:t>January 9, 2019</w:t>
      </w:r>
    </w:p>
    <w:p>
      <w:pPr>
        <w:pStyle w:val="BodyText"/>
        <w:spacing w:before="41"/>
        <w:ind w:left="1622"/>
      </w:pPr>
      <w:r>
        <w:rPr>
          <w:color w:val="231F20"/>
        </w:rPr>
        <w:t>12:00 noon – 12:50 p.m. (2886)</w:t>
      </w:r>
    </w:p>
    <w:p>
      <w:pPr>
        <w:pStyle w:val="BodyText"/>
        <w:spacing w:line="256" w:lineRule="auto" w:before="53"/>
        <w:ind w:left="319" w:right="539" w:firstLine="435"/>
      </w:pPr>
      <w:hyperlink r:id="rId8">
        <w:r>
          <w:rPr>
            <w:b/>
            <w:color w:val="40AD49"/>
            <w:spacing w:val="-6"/>
            <w:sz w:val="24"/>
          </w:rPr>
          <w:t>Tax </w:t>
        </w:r>
        <w:r>
          <w:rPr>
            <w:b/>
            <w:color w:val="40AD49"/>
            <w:sz w:val="24"/>
          </w:rPr>
          <w:t>Considerations in Employment Law</w:t>
        </w:r>
      </w:hyperlink>
      <w:r>
        <w:rPr>
          <w:b/>
          <w:color w:val="231F20"/>
          <w:sz w:val="24"/>
        </w:rPr>
        <w:t> </w:t>
      </w:r>
      <w:r>
        <w:rPr>
          <w:color w:val="231F20"/>
        </w:rPr>
        <w:t>This presentation will tell employment lawyers what </w:t>
      </w:r>
      <w:r>
        <w:rPr>
          <w:color w:val="231F20"/>
          <w:spacing w:val="-5"/>
        </w:rPr>
        <w:t>they </w:t>
      </w:r>
      <w:r>
        <w:rPr>
          <w:color w:val="231F20"/>
        </w:rPr>
        <w:t>need to know about taxation issues in drafting employment contracts, using independent contractors, settling cases, </w:t>
      </w:r>
      <w:r>
        <w:rPr>
          <w:color w:val="231F20"/>
          <w:spacing w:val="-6"/>
        </w:rPr>
        <w:t>and </w:t>
      </w:r>
      <w:r>
        <w:rPr>
          <w:color w:val="231F20"/>
        </w:rPr>
        <w:t>advising their clients about employment-related</w:t>
      </w:r>
      <w:r>
        <w:rPr>
          <w:color w:val="231F20"/>
          <w:spacing w:val="-1"/>
        </w:rPr>
        <w:t> </w:t>
      </w:r>
      <w:r>
        <w:rPr>
          <w:color w:val="231F20"/>
        </w:rPr>
        <w:t>matters.</w:t>
      </w:r>
    </w:p>
    <w:p>
      <w:pPr>
        <w:spacing w:line="249" w:lineRule="auto" w:before="38"/>
        <w:ind w:left="499" w:right="570" w:hanging="180"/>
        <w:jc w:val="left"/>
        <w:rPr>
          <w:i/>
          <w:sz w:val="20"/>
        </w:rPr>
      </w:pPr>
      <w:r>
        <w:rPr>
          <w:i/>
          <w:color w:val="231F20"/>
          <w:sz w:val="20"/>
        </w:rPr>
        <w:t>Joseph “Jay” </w:t>
      </w:r>
      <w:r>
        <w:rPr>
          <w:i/>
          <w:color w:val="231F20"/>
          <w:spacing w:val="-5"/>
          <w:sz w:val="20"/>
        </w:rPr>
        <w:t>Van </w:t>
      </w:r>
      <w:r>
        <w:rPr>
          <w:i/>
          <w:color w:val="231F20"/>
          <w:sz w:val="20"/>
        </w:rPr>
        <w:t>Heyde, Dean, Mead, Egerton, Bloodworth, </w:t>
      </w:r>
      <w:r>
        <w:rPr>
          <w:i/>
          <w:color w:val="231F20"/>
          <w:sz w:val="20"/>
        </w:rPr>
        <w:t>Capouano &amp; Bozarth, </w:t>
      </w:r>
      <w:r>
        <w:rPr>
          <w:i/>
          <w:color w:val="231F20"/>
          <w:spacing w:val="-6"/>
          <w:sz w:val="20"/>
        </w:rPr>
        <w:t>P.A., </w:t>
      </w:r>
      <w:r>
        <w:rPr>
          <w:i/>
          <w:color w:val="231F20"/>
          <w:sz w:val="20"/>
        </w:rPr>
        <w:t>Orlando,</w:t>
      </w:r>
      <w:r>
        <w:rPr>
          <w:i/>
          <w:color w:val="231F20"/>
          <w:spacing w:val="6"/>
          <w:sz w:val="20"/>
        </w:rPr>
        <w:t> </w:t>
      </w:r>
      <w:r>
        <w:rPr>
          <w:i/>
          <w:color w:val="231F20"/>
          <w:sz w:val="20"/>
        </w:rPr>
        <w:t>FL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1"/>
        <w:ind w:right="597"/>
      </w:pPr>
      <w:r>
        <w:rPr>
          <w:color w:val="231F20"/>
          <w:u w:val="single" w:color="231F20"/>
        </w:rPr>
        <w:t>February 6,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2019</w:t>
      </w:r>
    </w:p>
    <w:p>
      <w:pPr>
        <w:pStyle w:val="BodyText"/>
        <w:spacing w:before="42"/>
        <w:ind w:left="1630"/>
      </w:pPr>
      <w:r>
        <w:rPr>
          <w:color w:val="231F20"/>
        </w:rPr>
        <w:t>12:00 noon – 12:50 p.m. (3113)</w:t>
      </w:r>
    </w:p>
    <w:p>
      <w:pPr>
        <w:pStyle w:val="Heading1"/>
        <w:spacing w:line="242" w:lineRule="auto" w:before="52"/>
        <w:ind w:left="378" w:right="597"/>
      </w:pPr>
      <w:hyperlink r:id="rId9">
        <w:r>
          <w:rPr>
            <w:color w:val="40AD49"/>
          </w:rPr>
          <w:t>FLSA Ethical Conundrums: Good Faith</w:t>
        </w:r>
      </w:hyperlink>
      <w:r>
        <w:rPr>
          <w:color w:val="40AD49"/>
        </w:rPr>
        <w:t> </w:t>
      </w:r>
      <w:hyperlink r:id="rId9">
        <w:r>
          <w:rPr>
            <w:color w:val="40AD49"/>
          </w:rPr>
          <w:t>Defense Versus Lawyer as Witness and</w:t>
        </w:r>
      </w:hyperlink>
      <w:r>
        <w:rPr>
          <w:color w:val="40AD49"/>
        </w:rPr>
        <w:t> </w:t>
      </w:r>
      <w:hyperlink r:id="rId9">
        <w:r>
          <w:rPr>
            <w:color w:val="40AD49"/>
          </w:rPr>
          <w:t>Sanctionable (Mis)Conduct</w:t>
        </w:r>
      </w:hyperlink>
    </w:p>
    <w:p>
      <w:pPr>
        <w:pStyle w:val="BodyText"/>
        <w:spacing w:line="249" w:lineRule="auto" w:before="42"/>
        <w:ind w:left="319" w:right="537"/>
        <w:jc w:val="both"/>
      </w:pPr>
      <w:r>
        <w:rPr>
          <w:color w:val="231F20"/>
        </w:rPr>
        <w:t>Learn how to tell ethical issues from zealous advocacy and how to curtail unethical behavior.</w:t>
      </w:r>
    </w:p>
    <w:p>
      <w:pPr>
        <w:spacing w:line="249" w:lineRule="auto" w:before="41"/>
        <w:ind w:left="499" w:right="1179" w:hanging="180"/>
        <w:jc w:val="left"/>
        <w:rPr>
          <w:i/>
          <w:sz w:val="20"/>
        </w:rPr>
      </w:pPr>
      <w:r>
        <w:rPr>
          <w:i/>
          <w:color w:val="231F20"/>
          <w:sz w:val="20"/>
        </w:rPr>
        <w:t>Leslie W. Langbein, Langbein &amp; Langbein, P.A., </w:t>
      </w:r>
      <w:r>
        <w:rPr>
          <w:i/>
          <w:color w:val="231F20"/>
          <w:sz w:val="20"/>
        </w:rPr>
        <w:t>Miami Lakes, FL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Heading1"/>
        <w:ind w:right="597"/>
      </w:pPr>
      <w:r>
        <w:rPr>
          <w:color w:val="231F20"/>
          <w:u w:val="single" w:color="231F20"/>
        </w:rPr>
        <w:t>March 6, 2019</w:t>
      </w:r>
    </w:p>
    <w:p>
      <w:pPr>
        <w:pStyle w:val="BodyText"/>
        <w:spacing w:before="41"/>
        <w:ind w:left="1622"/>
      </w:pPr>
      <w:r>
        <w:rPr>
          <w:color w:val="231F20"/>
        </w:rPr>
        <w:t>12:00 noon – 12:50 p.m. (2887)</w:t>
      </w:r>
    </w:p>
    <w:p>
      <w:pPr>
        <w:pStyle w:val="Heading1"/>
        <w:spacing w:before="53"/>
        <w:ind w:right="597"/>
      </w:pPr>
      <w:hyperlink r:id="rId10">
        <w:r>
          <w:rPr>
            <w:color w:val="40AD49"/>
          </w:rPr>
          <w:t>Sexual Harassment Issues in the #MeToo Era:</w:t>
        </w:r>
      </w:hyperlink>
    </w:p>
    <w:p>
      <w:pPr>
        <w:spacing w:line="242" w:lineRule="auto" w:before="4"/>
        <w:ind w:left="672" w:right="890" w:firstLine="0"/>
        <w:jc w:val="center"/>
        <w:rPr>
          <w:b/>
          <w:sz w:val="24"/>
        </w:rPr>
      </w:pPr>
      <w:hyperlink r:id="rId10">
        <w:r>
          <w:rPr>
            <w:b/>
            <w:color w:val="40AD49"/>
            <w:sz w:val="24"/>
          </w:rPr>
          <w:t>What Has Changed and What Has Stayed</w:t>
        </w:r>
      </w:hyperlink>
      <w:r>
        <w:rPr>
          <w:b/>
          <w:color w:val="40AD49"/>
          <w:sz w:val="24"/>
        </w:rPr>
        <w:t> </w:t>
      </w:r>
      <w:hyperlink r:id="rId10">
        <w:r>
          <w:rPr>
            <w:b/>
            <w:color w:val="40AD49"/>
            <w:sz w:val="24"/>
          </w:rPr>
          <w:t>the Same</w:t>
        </w:r>
      </w:hyperlink>
    </w:p>
    <w:p>
      <w:pPr>
        <w:pStyle w:val="BodyText"/>
        <w:spacing w:line="249" w:lineRule="auto" w:before="40"/>
        <w:ind w:left="319" w:right="537"/>
        <w:jc w:val="both"/>
      </w:pPr>
      <w:r>
        <w:rPr>
          <w:color w:val="231F20"/>
        </w:rPr>
        <w:t>This webcast will cover best practices for preventing and addressing harassment; policies; the law regarding sexual favoritism (Can the boss promote his or her partner over more qualified candidates?); monitoring digital platforms for harassment; the interplay between harassment and common law torts, such as negligent hiring/supervision/retention; and how the changes in the tax code and NDAs have affected these claims and how to deal with claims.</w:t>
      </w:r>
    </w:p>
    <w:p>
      <w:pPr>
        <w:spacing w:line="249" w:lineRule="auto" w:before="47"/>
        <w:ind w:left="499" w:right="1113" w:hanging="180"/>
        <w:jc w:val="both"/>
        <w:rPr>
          <w:i/>
          <w:sz w:val="20"/>
        </w:rPr>
      </w:pPr>
      <w:r>
        <w:rPr>
          <w:i/>
          <w:color w:val="231F20"/>
          <w:sz w:val="20"/>
        </w:rPr>
        <w:t>Zascha Blanco Abbott, Liebler, Gonzalez &amp;</w:t>
      </w:r>
      <w:r>
        <w:rPr>
          <w:i/>
          <w:color w:val="231F20"/>
          <w:spacing w:val="-39"/>
          <w:sz w:val="20"/>
        </w:rPr>
        <w:t> </w:t>
      </w:r>
      <w:r>
        <w:rPr>
          <w:i/>
          <w:color w:val="231F20"/>
          <w:sz w:val="20"/>
        </w:rPr>
        <w:t>Portuondo, </w:t>
      </w:r>
      <w:r>
        <w:rPr>
          <w:i/>
          <w:color w:val="231F20"/>
          <w:sz w:val="20"/>
        </w:rPr>
        <w:t>Miami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2240" w:h="15840"/>
          <w:pgMar w:top="300" w:bottom="280" w:left="0" w:right="0"/>
          <w:cols w:num="2" w:equalWidth="0">
            <w:col w:w="5941" w:space="40"/>
            <w:col w:w="6259"/>
          </w:cols>
        </w:sect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</w:rPr>
      </w:pPr>
    </w:p>
    <w:p>
      <w:pPr>
        <w:pStyle w:val="Heading2"/>
        <w:ind w:left="2157"/>
      </w:pPr>
      <w:r>
        <w:rPr>
          <w:color w:val="26337B"/>
        </w:rPr>
        <w:t>CLER PROGRAM</w:t>
      </w:r>
    </w:p>
    <w:p>
      <w:pPr>
        <w:spacing w:before="56"/>
        <w:ind w:left="2157" w:right="0" w:firstLine="0"/>
        <w:jc w:val="center"/>
        <w:rPr>
          <w:sz w:val="22"/>
        </w:rPr>
      </w:pPr>
      <w:r>
        <w:rPr>
          <w:color w:val="26337B"/>
          <w:sz w:val="22"/>
        </w:rPr>
        <w:t>Max. Credit: 6.0 hours</w:t>
      </w:r>
    </w:p>
    <w:p>
      <w:pPr>
        <w:spacing w:before="170"/>
        <w:ind w:left="85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26337B"/>
          <w:sz w:val="22"/>
        </w:rPr>
        <w:t>CLER PROGRAM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8"/>
        <w:rPr>
          <w:b/>
        </w:rPr>
      </w:pPr>
    </w:p>
    <w:p>
      <w:pPr>
        <w:pStyle w:val="Heading2"/>
        <w:ind w:right="1896"/>
      </w:pPr>
      <w:r>
        <w:rPr/>
        <w:pict>
          <v:line style="position:absolute;mso-position-horizontal-relative:page;mso-position-vertical-relative:paragraph;z-index:251662336" from="355pt,-10.308119pt" to="612pt,-10.308119pt" stroked="true" strokeweight="1.5pt" strokecolor="#2633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0pt,-10.308119pt" to="257pt,-10.308119pt" stroked="true" strokeweight="1.5pt" strokecolor="#26337b">
            <v:stroke dashstyle="solid"/>
            <w10:wrap type="none"/>
          </v:line>
        </w:pict>
      </w:r>
      <w:r>
        <w:rPr>
          <w:color w:val="26337B"/>
        </w:rPr>
        <w:t>CERTIFICATION PROGRAM</w:t>
      </w:r>
    </w:p>
    <w:p>
      <w:pPr>
        <w:pStyle w:val="BodyText"/>
        <w:spacing w:before="50"/>
        <w:ind w:left="594" w:right="1896"/>
        <w:jc w:val="center"/>
      </w:pPr>
      <w:r>
        <w:rPr>
          <w:color w:val="26337B"/>
        </w:rPr>
        <w:t>Max. Credit: 6.0 hours</w:t>
      </w:r>
    </w:p>
    <w:p>
      <w:pPr>
        <w:spacing w:after="0"/>
        <w:jc w:val="center"/>
        <w:sectPr>
          <w:type w:val="continuous"/>
          <w:pgSz w:w="12240" w:h="15840"/>
          <w:pgMar w:top="300" w:bottom="280" w:left="0" w:right="0"/>
          <w:cols w:num="3" w:equalWidth="0">
            <w:col w:w="4323" w:space="40"/>
            <w:col w:w="2663" w:space="39"/>
            <w:col w:w="5175"/>
          </w:cols>
        </w:sectPr>
      </w:pPr>
    </w:p>
    <w:p>
      <w:pPr>
        <w:pStyle w:val="BodyText"/>
        <w:spacing w:line="249" w:lineRule="auto" w:before="45"/>
        <w:ind w:left="1296" w:right="-19" w:hanging="319"/>
      </w:pPr>
      <w:r>
        <w:rPr>
          <w:color w:val="26337B"/>
        </w:rPr>
        <w:t>General: 6.0 hours for series; 1.0 hour per program Ethics: 1.0 hour for series; 1.0 hour for 3113</w:t>
      </w:r>
    </w:p>
    <w:p>
      <w:pPr>
        <w:pStyle w:val="BodyText"/>
        <w:spacing w:line="249" w:lineRule="auto" w:before="21"/>
        <w:ind w:left="1412" w:right="211" w:hanging="665"/>
      </w:pPr>
      <w:r>
        <w:rPr/>
        <w:br w:type="column"/>
      </w:r>
      <w:r>
        <w:rPr>
          <w:color w:val="26337B"/>
        </w:rPr>
        <w:t>Labor and Employment Law: 6.0 hours; 1.0 hour per program Tax Law: 1.0 hour for series: 1.0 hour for 2886</w:t>
      </w:r>
    </w:p>
    <w:p>
      <w:pPr>
        <w:spacing w:after="0" w:line="249" w:lineRule="auto"/>
        <w:sectPr>
          <w:type w:val="continuous"/>
          <w:pgSz w:w="12240" w:h="15840"/>
          <w:pgMar w:top="300" w:bottom="280" w:left="0" w:right="0"/>
          <w:cols w:num="2" w:equalWidth="0">
            <w:col w:w="5503" w:space="40"/>
            <w:col w:w="6697"/>
          </w:cols>
        </w:sectPr>
      </w:pPr>
    </w:p>
    <w:p>
      <w:pPr>
        <w:pStyle w:val="BodyText"/>
        <w:spacing w:before="1"/>
      </w:pPr>
      <w:r>
        <w:rPr/>
        <w:pict>
          <v:group style="position:absolute;margin-left:0pt;margin-top:15pt;width:612pt;height:98.4pt;mso-position-horizontal-relative:page;mso-position-vertical-relative:page;z-index:251660288" coordorigin="0,300" coordsize="12240,1968">
            <v:rect style="position:absolute;left:0;top:726;width:12240;height:1020" filled="true" fillcolor="#26337b" stroked="false">
              <v:fill type="solid"/>
            </v:rect>
            <v:shape style="position:absolute;left:1925;top:300;width:1917;height:1968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00;width:12240;height:196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43"/>
                      </w:rPr>
                    </w:pPr>
                  </w:p>
                  <w:p>
                    <w:pPr>
                      <w:spacing w:line="436" w:lineRule="exact" w:before="0"/>
                      <w:ind w:left="4388" w:right="1936" w:firstLine="0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36"/>
                      </w:rPr>
                      <w:t>The Florida Bar</w:t>
                    </w:r>
                  </w:p>
                  <w:p>
                    <w:pPr>
                      <w:spacing w:line="436" w:lineRule="exact" w:before="0"/>
                      <w:ind w:left="4389" w:right="1936" w:firstLine="0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36"/>
                      </w:rPr>
                      <w:t>Labor and Employment Law Section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720"/>
      </w:pPr>
      <w:r>
        <w:rPr/>
        <w:pict>
          <v:shape style="width:540pt;height:37pt;mso-position-horizontal-relative:char;mso-position-vertical-relative:line" type="#_x0000_t202" filled="true" fillcolor="#26337b" stroked="false">
            <w10:anchorlock/>
            <v:textbox inset="0,0,0,0">
              <w:txbxContent>
                <w:p>
                  <w:pPr>
                    <w:spacing w:line="249" w:lineRule="auto" w:before="100"/>
                    <w:ind w:left="1101" w:right="191" w:hanging="101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9"/>
                      <w:sz w:val="24"/>
                    </w:rPr>
                    <w:t>To</w:t>
                  </w:r>
                  <w:r>
                    <w:rPr>
                      <w:b/>
                      <w:color w:val="FFFFF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register,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log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into</w:t>
                  </w:r>
                  <w:r>
                    <w:rPr>
                      <w:b/>
                      <w:color w:val="FFFFF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The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Florida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Bar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Members</w:t>
                  </w:r>
                  <w:r>
                    <w:rPr>
                      <w:b/>
                      <w:color w:val="FFFFF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Portal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at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hyperlink r:id="rId12">
                    <w:r>
                      <w:rPr>
                        <w:b/>
                        <w:color w:val="FFFFFF"/>
                        <w:sz w:val="24"/>
                      </w:rPr>
                      <w:t>www.member.floridabar.org,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> </w:t>
                    </w:r>
                  </w:hyperlink>
                  <w:r>
                    <w:rPr>
                      <w:b/>
                      <w:color w:val="FFFFFF"/>
                      <w:sz w:val="24"/>
                    </w:rPr>
                    <w:t>click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CLE Events/Meetings and scroll to the desired course, OR click on a title</w:t>
                  </w:r>
                  <w:r>
                    <w:rPr>
                      <w:b/>
                      <w:color w:val="FFFFFF"/>
                      <w:spacing w:val="-46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above.</w:t>
                  </w:r>
                </w:p>
              </w:txbxContent>
            </v:textbox>
            <v:fill type="solid"/>
          </v:shape>
        </w:pict>
      </w:r>
      <w:r>
        <w:rPr/>
      </w:r>
    </w:p>
    <w:sectPr>
      <w:type w:val="continuous"/>
      <w:pgSz w:w="12240" w:h="15840"/>
      <w:pgMar w:top="3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79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594"/>
      <w:jc w:val="center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ember.floridabar.org/EventApi__simple_event?id=a1R360000050fAiEAI&amp;site=a0a36000003SDujAAG" TargetMode="External"/><Relationship Id="rId6" Type="http://schemas.openxmlformats.org/officeDocument/2006/relationships/hyperlink" Target="https://member.floridabar.org/EventApi__simple_event?id=a1R360000050iGVEAY&amp;site=a0a36000003SDujAAG" TargetMode="External"/><Relationship Id="rId7" Type="http://schemas.openxmlformats.org/officeDocument/2006/relationships/hyperlink" Target="https://member.floridabar.org/EventApi__simple_event?id=a1R360000050iN7EAI&amp;site=a0a36000003SDujAAG" TargetMode="External"/><Relationship Id="rId8" Type="http://schemas.openxmlformats.org/officeDocument/2006/relationships/hyperlink" Target="https://member.floridabar.org/EventApi__simple_event?id=a1R360000050iNCEAY&amp;site=a0a36000003SDujAAG" TargetMode="External"/><Relationship Id="rId9" Type="http://schemas.openxmlformats.org/officeDocument/2006/relationships/hyperlink" Target="https://member.floridabar.org/EventApi__simple_event?id=a1R360000050iNMEAY&amp;site=a0a36000003SDujAAG" TargetMode="External"/><Relationship Id="rId10" Type="http://schemas.openxmlformats.org/officeDocument/2006/relationships/hyperlink" Target="https://member.floridabar.org/EventApi__simple_event?id=a1R360000050iNHEAY&amp;site=a0a36000003SDujAAG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www.member.floridabar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2019-04-11T15:33:59Z</dcterms:created>
  <dcterms:modified xsi:type="dcterms:W3CDTF">2019-04-11T15:33:59Z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