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Default Extension="jpeg" ContentType="image/jpeg"/>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2"/>
        <w:rPr>
          <w:rFonts w:ascii="Times New Roman"/>
        </w:rPr>
      </w:pPr>
      <w:r>
        <w:rPr>
          <w:rFonts w:ascii="Times New Roman"/>
        </w:rPr>
        <w:pict>
          <v:group style="width:534.1pt;height:157.950pt;mso-position-horizontal-relative:char;mso-position-vertical-relative:line" coordorigin="0,0" coordsize="10682,3159">
            <v:shape style="position:absolute;left:121;top:17;width:10482;height:1756" coordorigin="121,17" coordsize="10482,1756" path="m10603,17l121,17,4218,1773,10603,17xe" filled="true" fillcolor="#0076bf" stroked="false">
              <v:path arrowok="t"/>
              <v:fill type="solid"/>
            </v:shape>
            <v:shape style="position:absolute;left:4714;top:789;width:5967;height:2168" coordorigin="4714,789" coordsize="5967,2168" path="m10681,789l4714,2957,10681,2949,10681,789xe" filled="true" fillcolor="#0076bf" stroked="false">
              <v:path arrowok="t"/>
              <v:fill type="solid"/>
            </v:shape>
            <v:shape style="position:absolute;left:121;top:133;width:3583;height:2817" coordorigin="121,133" coordsize="3583,2817" path="m121,133l121,2945,3704,2950,121,133xe" filled="true" fillcolor="#0076bf" stroked="false">
              <v:path arrowok="t"/>
              <v:fill type="solid"/>
            </v:shape>
            <v:line style="position:absolute" from="121,3079" to="10681,3079" stroked="true" strokeweight="8pt" strokecolor="#231f20">
              <v:stroke dashstyle="solid"/>
            </v:line>
            <v:shape style="position:absolute;left:0;top:0;width:10682;height:3159" coordorigin="0,0" coordsize="10682,3159" path="m0,0l4035,3159,7801,1799,4225,1799,0,0xm10681,38l4225,1799,7801,1799,10681,758,10681,38xe" filled="true" fillcolor="#231f20" stroked="false">
              <v:path arrowok="t"/>
              <v:fill type="solid"/>
            </v:shape>
            <v:shape style="position:absolute;left:464;top:268;width:7748;height:2394" type="#_x0000_t75" stroked="false">
              <v:imagedata r:id="rId5" o:title=""/>
            </v:shape>
            <v:shapetype id="_x0000_t202" o:spt="202" coordsize="21600,21600" path="m,l,21600r21600,l21600,xe">
              <v:stroke joinstyle="miter"/>
              <v:path gradientshapeok="t" o:connecttype="rect"/>
            </v:shapetype>
            <v:shape style="position:absolute;left:407;top:308;width:7700;height:2684" type="#_x0000_t202" filled="false" stroked="false">
              <v:textbox inset="0,0,0,0">
                <w:txbxContent>
                  <w:p>
                    <w:pPr>
                      <w:spacing w:before="0"/>
                      <w:ind w:left="0" w:right="0" w:firstLine="0"/>
                      <w:jc w:val="left"/>
                      <w:rPr>
                        <w:rFonts w:ascii="Impact"/>
                        <w:sz w:val="220"/>
                      </w:rPr>
                    </w:pPr>
                    <w:r>
                      <w:rPr>
                        <w:rFonts w:ascii="Impact"/>
                        <w:shadow/>
                        <w:color w:val="FFFFFF"/>
                        <w:spacing w:val="-45"/>
                        <w:sz w:val="220"/>
                      </w:rPr>
                      <w:t>Checkoff</w:t>
                    </w:r>
                  </w:p>
                </w:txbxContent>
              </v:textbox>
              <w10:wrap type="none"/>
            </v:shape>
            <v:shape style="position:absolute;left:2261;top:191;width:1141;height:976" type="#_x0000_t202" filled="false" stroked="false">
              <v:textbox inset="0,0,0,0">
                <w:txbxContent>
                  <w:p>
                    <w:pPr>
                      <w:spacing w:before="0"/>
                      <w:ind w:left="0" w:right="0" w:firstLine="0"/>
                      <w:jc w:val="left"/>
                      <w:rPr>
                        <w:rFonts w:ascii="Impact"/>
                        <w:sz w:val="80"/>
                      </w:rPr>
                    </w:pPr>
                    <w:r>
                      <w:rPr>
                        <w:rFonts w:ascii="Impact"/>
                        <w:imprint/>
                        <w:color w:val="262223"/>
                        <w:sz w:val="80"/>
                      </w:rPr>
                      <w:t>the</w:t>
                    </w:r>
                  </w:p>
                </w:txbxContent>
              </v:textbox>
              <w10:wrap type="none"/>
            </v:shape>
            <v:shape style="position:absolute;left:4595;top:179;width:3583;height:262" type="#_x0000_t202" filled="false" stroked="false">
              <v:textbox inset="0,0,0,0">
                <w:txbxContent>
                  <w:p>
                    <w:pPr>
                      <w:spacing w:before="5"/>
                      <w:ind w:left="0" w:right="0" w:firstLine="0"/>
                      <w:jc w:val="left"/>
                      <w:rPr>
                        <w:b/>
                        <w:i/>
                        <w:sz w:val="22"/>
                      </w:rPr>
                    </w:pPr>
                    <w:hyperlink r:id="rId6">
                      <w:r>
                        <w:rPr>
                          <w:b/>
                          <w:i/>
                          <w:color w:val="FFFFFF"/>
                          <w:sz w:val="22"/>
                        </w:rPr>
                        <w:t>www.laboremploymentlaw.org</w:t>
                      </w:r>
                    </w:hyperlink>
                  </w:p>
                </w:txbxContent>
              </v:textbox>
              <w10:wrap type="none"/>
            </v:shape>
            <v:shape style="position:absolute;left:9110;top:2017;width:1423;height:736" type="#_x0000_t202" filled="false" stroked="false">
              <v:textbox inset="0,0,0,0">
                <w:txbxContent>
                  <w:p>
                    <w:pPr>
                      <w:spacing w:line="237" w:lineRule="auto" w:before="6"/>
                      <w:ind w:left="2" w:right="11" w:hanging="3"/>
                      <w:jc w:val="left"/>
                      <w:rPr>
                        <w:rFonts w:ascii="Verdana"/>
                        <w:b/>
                        <w:sz w:val="20"/>
                      </w:rPr>
                    </w:pPr>
                    <w:r>
                      <w:rPr>
                        <w:rFonts w:ascii="Verdana"/>
                        <w:b/>
                        <w:color w:val="FFFFFF"/>
                        <w:w w:val="85"/>
                        <w:sz w:val="20"/>
                      </w:rPr>
                      <w:t>The Florida</w:t>
                    </w:r>
                    <w:r>
                      <w:rPr>
                        <w:rFonts w:ascii="Verdana"/>
                        <w:b/>
                        <w:color w:val="FFFFFF"/>
                        <w:spacing w:val="-44"/>
                        <w:w w:val="85"/>
                        <w:sz w:val="20"/>
                      </w:rPr>
                      <w:t> </w:t>
                    </w:r>
                    <w:r>
                      <w:rPr>
                        <w:rFonts w:ascii="Verdana"/>
                        <w:b/>
                        <w:color w:val="FFFFFF"/>
                        <w:spacing w:val="-6"/>
                        <w:w w:val="85"/>
                        <w:sz w:val="20"/>
                      </w:rPr>
                      <w:t>Bar </w:t>
                    </w:r>
                    <w:r>
                      <w:rPr>
                        <w:rFonts w:ascii="Verdana"/>
                        <w:b/>
                        <w:color w:val="FFFFFF"/>
                        <w:spacing w:val="-4"/>
                        <w:w w:val="85"/>
                        <w:sz w:val="20"/>
                      </w:rPr>
                      <w:t>Vol.</w:t>
                    </w:r>
                    <w:r>
                      <w:rPr>
                        <w:rFonts w:ascii="Verdana"/>
                        <w:b/>
                        <w:color w:val="FFFFFF"/>
                        <w:spacing w:val="-40"/>
                        <w:w w:val="85"/>
                        <w:sz w:val="20"/>
                      </w:rPr>
                      <w:t> </w:t>
                    </w:r>
                    <w:r>
                      <w:rPr>
                        <w:rFonts w:ascii="Verdana"/>
                        <w:b/>
                        <w:color w:val="FFFFFF"/>
                        <w:spacing w:val="-3"/>
                        <w:w w:val="85"/>
                        <w:sz w:val="20"/>
                      </w:rPr>
                      <w:t>LVIII,</w:t>
                    </w:r>
                    <w:r>
                      <w:rPr>
                        <w:rFonts w:ascii="Verdana"/>
                        <w:b/>
                        <w:color w:val="FFFFFF"/>
                        <w:spacing w:val="-39"/>
                        <w:w w:val="85"/>
                        <w:sz w:val="20"/>
                      </w:rPr>
                      <w:t> </w:t>
                    </w:r>
                    <w:r>
                      <w:rPr>
                        <w:rFonts w:ascii="Verdana"/>
                        <w:b/>
                        <w:color w:val="FFFFFF"/>
                        <w:w w:val="85"/>
                        <w:sz w:val="20"/>
                      </w:rPr>
                      <w:t>No.</w:t>
                    </w:r>
                    <w:r>
                      <w:rPr>
                        <w:rFonts w:ascii="Verdana"/>
                        <w:b/>
                        <w:color w:val="FFFFFF"/>
                        <w:spacing w:val="-48"/>
                        <w:w w:val="85"/>
                        <w:sz w:val="20"/>
                      </w:rPr>
                      <w:t> </w:t>
                    </w:r>
                    <w:r>
                      <w:rPr>
                        <w:rFonts w:ascii="Verdana"/>
                        <w:b/>
                        <w:color w:val="FFFFFF"/>
                        <w:spacing w:val="-18"/>
                        <w:w w:val="85"/>
                        <w:sz w:val="20"/>
                      </w:rPr>
                      <w:t>3</w:t>
                    </w:r>
                  </w:p>
                  <w:p>
                    <w:pPr>
                      <w:spacing w:line="240" w:lineRule="exact" w:before="0"/>
                      <w:ind w:left="459" w:right="0" w:firstLine="0"/>
                      <w:jc w:val="left"/>
                      <w:rPr>
                        <w:rFonts w:ascii="Verdana"/>
                        <w:b/>
                        <w:sz w:val="20"/>
                      </w:rPr>
                    </w:pPr>
                    <w:r>
                      <w:rPr>
                        <w:rFonts w:ascii="Verdana"/>
                        <w:b/>
                        <w:color w:val="FFFFFF"/>
                        <w:w w:val="80"/>
                        <w:sz w:val="20"/>
                      </w:rPr>
                      <w:t>April</w:t>
                    </w:r>
                    <w:r>
                      <w:rPr>
                        <w:rFonts w:ascii="Verdana"/>
                        <w:b/>
                        <w:color w:val="FFFFFF"/>
                        <w:spacing w:val="8"/>
                        <w:w w:val="80"/>
                        <w:sz w:val="20"/>
                      </w:rPr>
                      <w:t> </w:t>
                    </w:r>
                    <w:r>
                      <w:rPr>
                        <w:rFonts w:ascii="Verdana"/>
                        <w:b/>
                        <w:color w:val="FFFFFF"/>
                        <w:w w:val="80"/>
                        <w:sz w:val="20"/>
                      </w:rPr>
                      <w:t>2019</w:t>
                    </w:r>
                  </w:p>
                </w:txbxContent>
              </v:textbox>
              <w10:wrap type="none"/>
            </v:shape>
          </v:group>
        </w:pict>
      </w:r>
      <w:r>
        <w:rPr>
          <w:rFonts w:ascii="Times New Roman"/>
        </w:rPr>
      </w:r>
    </w:p>
    <w:p>
      <w:pPr>
        <w:pStyle w:val="BodyText"/>
        <w:spacing w:before="38"/>
        <w:ind w:left="124"/>
        <w:rPr>
          <w:rFonts w:ascii="Calibri"/>
        </w:rPr>
      </w:pPr>
      <w:r>
        <w:rPr/>
        <w:pict>
          <v:line style="position:absolute;mso-position-horizontal-relative:page;mso-position-vertical-relative:paragraph;z-index:251664384" from="42.200802pt,14.921462pt" to="570.200802pt,14.921462pt" stroked="true" strokeweight="1pt" strokecolor="#0076bf">
            <v:stroke dashstyle="solid"/>
            <w10:wrap type="none"/>
          </v:line>
        </w:pict>
      </w:r>
      <w:r>
        <w:rPr>
          <w:rFonts w:ascii="Calibri"/>
          <w:color w:val="0076BF"/>
          <w:w w:val="135"/>
        </w:rPr>
        <w:t>A PUBLICATION OF THE FLORIDA BAR LABOR &amp; EMPLOYMENT LAW SEC TION</w:t>
      </w:r>
      <w:r>
        <w:rPr>
          <w:rFonts w:ascii="Calibri"/>
          <w:color w:val="0076BF"/>
        </w:rPr>
        <w:t> </w:t>
      </w:r>
    </w:p>
    <w:p>
      <w:pPr>
        <w:spacing w:after="0"/>
        <w:rPr>
          <w:rFonts w:ascii="Calibri"/>
        </w:rPr>
        <w:sectPr>
          <w:type w:val="continuous"/>
          <w:pgSz w:w="12240" w:h="15840"/>
          <w:pgMar w:top="500" w:bottom="280" w:left="720" w:right="540"/>
        </w:sectPr>
      </w:pPr>
    </w:p>
    <w:p>
      <w:pPr>
        <w:spacing w:before="259"/>
        <w:ind w:left="243" w:right="0" w:firstLine="0"/>
        <w:jc w:val="left"/>
        <w:rPr>
          <w:b/>
          <w:sz w:val="28"/>
        </w:rPr>
      </w:pPr>
      <w:r>
        <w:rPr>
          <w:b/>
          <w:color w:val="231F20"/>
          <w:sz w:val="28"/>
        </w:rPr>
        <w:t>IN THIS ISSUE</w:t>
      </w:r>
    </w:p>
    <w:sdt>
      <w:sdtPr>
        <w:docPartObj>
          <w:docPartGallery w:val="Table of Contents"/>
          <w:docPartUnique/>
        </w:docPartObj>
      </w:sdtPr>
      <w:sdtEndPr/>
      <w:sdtContent>
        <w:p>
          <w:pPr>
            <w:pStyle w:val="TOC1"/>
            <w:tabs>
              <w:tab w:pos="2100" w:val="left" w:leader="dot"/>
            </w:tabs>
            <w:spacing w:before="205"/>
            <w:rPr>
              <w:i/>
            </w:rPr>
          </w:pPr>
          <w:hyperlink w:history="true" w:anchor="_bookmark0">
            <w:r>
              <w:rPr>
                <w:i/>
                <w:color w:val="231F20"/>
              </w:rPr>
              <w:t>Chair’s</w:t>
            </w:r>
            <w:r>
              <w:rPr>
                <w:i/>
                <w:color w:val="231F20"/>
                <w:spacing w:val="-1"/>
              </w:rPr>
              <w:t> </w:t>
            </w:r>
            <w:r>
              <w:rPr>
                <w:i/>
                <w:color w:val="231F20"/>
              </w:rPr>
              <w:t>Message</w:t>
              <w:tab/>
              <w:t>2</w:t>
            </w:r>
          </w:hyperlink>
        </w:p>
        <w:p>
          <w:pPr>
            <w:pStyle w:val="TOC1"/>
            <w:tabs>
              <w:tab w:pos="2100" w:val="left" w:leader="dot"/>
            </w:tabs>
            <w:rPr>
              <w:i/>
            </w:rPr>
          </w:pPr>
          <w:hyperlink w:history="true" w:anchor="_bookmark1">
            <w:r>
              <w:rPr>
                <w:i/>
                <w:color w:val="231F20"/>
              </w:rPr>
              <w:t>Section Bulletin Board</w:t>
              <w:tab/>
              <w:t>2</w:t>
            </w:r>
          </w:hyperlink>
        </w:p>
        <w:p>
          <w:pPr>
            <w:pStyle w:val="TOC1"/>
            <w:tabs>
              <w:tab w:pos="2100" w:val="left" w:leader="dot"/>
            </w:tabs>
            <w:spacing w:line="384" w:lineRule="auto"/>
            <w:ind w:left="329" w:right="38" w:hanging="120"/>
          </w:pPr>
          <w:hyperlink w:history="true" w:anchor="_bookmark4">
            <w:r>
              <w:rPr>
                <w:i/>
                <w:color w:val="231F20"/>
              </w:rPr>
              <w:t>Is Protection for Florida </w:t>
            </w:r>
            <w:r>
              <w:rPr>
                <w:color w:val="231F20"/>
              </w:rPr>
              <w:t>LGBTQ Employees on the</w:t>
            </w:r>
            <w:r>
              <w:rPr>
                <w:color w:val="231F20"/>
                <w:spacing w:val="-3"/>
              </w:rPr>
              <w:t> </w:t>
            </w:r>
            <w:r>
              <w:rPr>
                <w:color w:val="231F20"/>
              </w:rPr>
              <w:t>Horizon?</w:t>
              <w:tab/>
            </w:r>
            <w:r>
              <w:rPr>
                <w:color w:val="231F20"/>
                <w:spacing w:val="-17"/>
              </w:rPr>
              <w:t>4</w:t>
            </w:r>
          </w:hyperlink>
        </w:p>
      </w:sdtContent>
    </w:sdt>
    <w:p>
      <w:pPr>
        <w:spacing w:line="181" w:lineRule="exact" w:before="82"/>
        <w:ind w:left="209" w:right="0" w:firstLine="0"/>
        <w:jc w:val="left"/>
        <w:rPr>
          <w:i/>
          <w:sz w:val="16"/>
        </w:rPr>
      </w:pPr>
      <w:hyperlink w:history="true" w:anchor="_bookmark5">
        <w:r>
          <w:rPr>
            <w:i/>
            <w:color w:val="231F20"/>
            <w:sz w:val="16"/>
          </w:rPr>
          <w:t>NLRB Restores Previous</w:t>
        </w:r>
      </w:hyperlink>
    </w:p>
    <w:p>
      <w:pPr>
        <w:pStyle w:val="Heading2"/>
      </w:pPr>
      <w:r>
        <w:rPr>
          <w:b w:val="0"/>
          <w:i w:val="0"/>
        </w:rPr>
        <w:br w:type="column"/>
      </w:r>
      <w:r>
        <w:rPr>
          <w:color w:val="231F20"/>
        </w:rPr>
        <w:t>Just Say No</w:t>
      </w:r>
    </w:p>
    <w:p>
      <w:pPr>
        <w:pStyle w:val="Heading3"/>
        <w:spacing w:line="189" w:lineRule="auto" w:before="35"/>
        <w:ind w:right="452"/>
      </w:pPr>
      <w:r>
        <w:rPr/>
        <w:pict>
          <v:group style="position:absolute;margin-left:42pt;margin-top:-25.052824pt;width:528pt;height:558pt;mso-position-horizontal-relative:page;mso-position-vertical-relative:paragraph;z-index:-253187072" coordorigin="840,-501" coordsize="10560,11160">
            <v:rect style="position:absolute;left:3000;top:10368;width:8390;height:280" filled="true" fillcolor="#bacfeb" stroked="false">
              <v:fill type="solid"/>
            </v:rect>
            <v:rect style="position:absolute;left:850;top:10368;width:10540;height:280" filled="false" stroked="true" strokeweight="1pt" strokecolor="#bacfeb">
              <v:stroke dashstyle="solid"/>
            </v:rect>
            <v:rect style="position:absolute;left:850;top:-492;width:2140;height:4742" filled="true" fillcolor="#c7d7ef" stroked="false">
              <v:fill type="solid"/>
            </v:rect>
            <v:rect style="position:absolute;left:850;top:-492;width:2140;height:5812" filled="false" stroked="true" strokeweight="1pt" strokecolor="#bacfeb">
              <v:stroke dashstyle="solid"/>
            </v:rect>
            <v:rect style="position:absolute;left:840;top:4250;width:2160;height:6408" filled="true" fillcolor="#0076bf" stroked="false">
              <v:fill type="solid"/>
            </v:rect>
            <v:line style="position:absolute" from="1174,5557" to="2728,5557" stroked="true" strokeweight="3pt" strokecolor="#ffffff">
              <v:stroke dashstyle="dot"/>
            </v:line>
            <v:shape style="position:absolute;left:0;top:11258;width:1740;height:2" coordorigin="0,11259" coordsize="1740,0" path="m1050,5557l1050,5557m2790,5557l2790,5557e" filled="false" stroked="true" strokeweight="3pt" strokecolor="#ffffff">
              <v:path arrowok="t"/>
              <v:stroke dashstyle="solid"/>
            </v:shape>
            <v:line style="position:absolute" from="1174,9449" to="2728,9449" stroked="true" strokeweight="3pt" strokecolor="#ffffff">
              <v:stroke dashstyle="dot"/>
            </v:line>
            <v:shape style="position:absolute;left:0;top:11258;width:1740;height:2" coordorigin="0,11259" coordsize="1740,0" path="m1050,9449l1050,9449m2790,9449l2790,9449e" filled="false" stroked="true" strokeweight="3pt" strokecolor="#ffffff">
              <v:path arrowok="t"/>
              <v:stroke dashstyle="solid"/>
            </v:shape>
            <w10:wrap type="none"/>
          </v:group>
        </w:pict>
      </w:r>
      <w:r>
        <w:rPr>
          <w:color w:val="231F20"/>
        </w:rPr>
        <w:t>Eleventh Circuit Holds Substitute Teachers Can Be Subject to Suspicionless Drug Testing</w:t>
      </w:r>
    </w:p>
    <w:p>
      <w:pPr>
        <w:spacing w:before="160"/>
        <w:ind w:left="209" w:right="449" w:firstLine="0"/>
        <w:jc w:val="center"/>
        <w:rPr>
          <w:b/>
          <w:sz w:val="22"/>
        </w:rPr>
      </w:pPr>
      <w:r>
        <w:rPr>
          <w:b/>
          <w:color w:val="231F20"/>
          <w:sz w:val="22"/>
        </w:rPr>
        <w:t>By Sacha Dyson, Tampa</w:t>
      </w:r>
    </w:p>
    <w:p>
      <w:pPr>
        <w:spacing w:after="0"/>
        <w:jc w:val="center"/>
        <w:rPr>
          <w:sz w:val="22"/>
        </w:rPr>
        <w:sectPr>
          <w:type w:val="continuous"/>
          <w:pgSz w:w="12240" w:h="15840"/>
          <w:pgMar w:top="500" w:bottom="280" w:left="720" w:right="540"/>
          <w:cols w:num="2" w:equalWidth="0">
            <w:col w:w="2231" w:space="232"/>
            <w:col w:w="8517"/>
          </w:cols>
        </w:sectPr>
      </w:pPr>
    </w:p>
    <w:p>
      <w:pPr>
        <w:spacing w:line="384" w:lineRule="auto" w:before="115"/>
        <w:ind w:left="329" w:right="93" w:firstLine="0"/>
        <w:jc w:val="left"/>
        <w:rPr>
          <w:i/>
          <w:sz w:val="16"/>
        </w:rPr>
      </w:pPr>
      <w:hyperlink w:history="true" w:anchor="_bookmark5">
        <w:r>
          <w:rPr>
            <w:i/>
            <w:color w:val="231F20"/>
            <w:sz w:val="16"/>
          </w:rPr>
          <w:t>Standard for Establishing </w:t>
        </w:r>
        <w:r>
          <w:rPr>
            <w:i/>
            <w:color w:val="231F20"/>
            <w:sz w:val="16"/>
          </w:rPr>
          <w:t>Section 7 “Concerted Activity” Under</w:t>
        </w:r>
      </w:hyperlink>
    </w:p>
    <w:p>
      <w:pPr>
        <w:tabs>
          <w:tab w:pos="2189" w:val="right" w:leader="dot"/>
        </w:tabs>
        <w:spacing w:before="2"/>
        <w:ind w:left="329" w:right="0" w:firstLine="0"/>
        <w:jc w:val="left"/>
        <w:rPr>
          <w:i/>
          <w:sz w:val="16"/>
        </w:rPr>
      </w:pPr>
      <w:hyperlink w:history="true" w:anchor="_bookmark5">
        <w:r>
          <w:rPr>
            <w:i/>
            <w:color w:val="231F20"/>
            <w:sz w:val="16"/>
          </w:rPr>
          <w:t>the</w:t>
        </w:r>
        <w:r>
          <w:rPr>
            <w:i/>
            <w:color w:val="231F20"/>
            <w:spacing w:val="-1"/>
            <w:sz w:val="16"/>
          </w:rPr>
          <w:t> </w:t>
        </w:r>
        <w:r>
          <w:rPr>
            <w:i/>
            <w:color w:val="231F20"/>
            <w:sz w:val="16"/>
          </w:rPr>
          <w:t>NLRA</w:t>
          <w:tab/>
          <w:t>5</w:t>
        </w:r>
      </w:hyperlink>
    </w:p>
    <w:p>
      <w:pPr>
        <w:tabs>
          <w:tab w:pos="2189" w:val="right" w:leader="dot"/>
        </w:tabs>
        <w:spacing w:before="191"/>
        <w:ind w:left="209" w:right="0" w:firstLine="0"/>
        <w:jc w:val="left"/>
        <w:rPr>
          <w:i/>
          <w:sz w:val="16"/>
        </w:rPr>
      </w:pPr>
      <w:hyperlink w:history="true" w:anchor="_bookmark7">
        <w:r>
          <w:rPr>
            <w:i/>
            <w:color w:val="231F20"/>
            <w:sz w:val="16"/>
          </w:rPr>
          <w:t>Case</w:t>
        </w:r>
        <w:r>
          <w:rPr>
            <w:i/>
            <w:color w:val="231F20"/>
            <w:spacing w:val="-2"/>
            <w:sz w:val="16"/>
          </w:rPr>
          <w:t> </w:t>
        </w:r>
        <w:r>
          <w:rPr>
            <w:i/>
            <w:color w:val="231F20"/>
            <w:sz w:val="16"/>
          </w:rPr>
          <w:t>Notes</w:t>
          <w:tab/>
          <w:t>15</w:t>
        </w:r>
      </w:hyperlink>
    </w:p>
    <w:p>
      <w:pPr>
        <w:pStyle w:val="BodyText"/>
        <w:spacing w:line="249" w:lineRule="auto"/>
        <w:ind w:left="209" w:firstLine="180"/>
        <w:jc w:val="both"/>
      </w:pPr>
      <w:r>
        <w:rPr/>
        <w:br w:type="column"/>
      </w:r>
      <w:r>
        <w:rPr>
          <w:color w:val="231F20"/>
          <w:spacing w:val="4"/>
        </w:rPr>
        <w:t>Much ink has been </w:t>
      </w:r>
      <w:r>
        <w:rPr>
          <w:color w:val="231F20"/>
          <w:spacing w:val="5"/>
        </w:rPr>
        <w:t>spilled </w:t>
      </w:r>
      <w:r>
        <w:rPr>
          <w:color w:val="231F20"/>
          <w:spacing w:val="4"/>
        </w:rPr>
        <w:t>over the is- </w:t>
      </w:r>
      <w:r>
        <w:rPr>
          <w:color w:val="231F20"/>
          <w:spacing w:val="2"/>
        </w:rPr>
        <w:t>sue </w:t>
      </w:r>
      <w:r>
        <w:rPr>
          <w:color w:val="231F20"/>
        </w:rPr>
        <w:t>of </w:t>
      </w:r>
      <w:r>
        <w:rPr>
          <w:color w:val="231F20"/>
          <w:spacing w:val="2"/>
        </w:rPr>
        <w:t>public employees’ privacy </w:t>
      </w:r>
      <w:r>
        <w:rPr>
          <w:color w:val="231F20"/>
          <w:spacing w:val="3"/>
        </w:rPr>
        <w:t>rights in </w:t>
      </w:r>
      <w:r>
        <w:rPr>
          <w:color w:val="231F20"/>
        </w:rPr>
        <w:t>the workplace. The United States Supreme Court has made clear that a public</w:t>
      </w:r>
      <w:r>
        <w:rPr>
          <w:color w:val="231F20"/>
          <w:spacing w:val="-32"/>
        </w:rPr>
        <w:t> </w:t>
      </w:r>
      <w:r>
        <w:rPr>
          <w:color w:val="231F20"/>
        </w:rPr>
        <w:t>employee does</w:t>
      </w:r>
      <w:r>
        <w:rPr>
          <w:color w:val="231F20"/>
          <w:spacing w:val="-6"/>
        </w:rPr>
        <w:t> </w:t>
      </w:r>
      <w:r>
        <w:rPr>
          <w:color w:val="231F20"/>
        </w:rPr>
        <w:t>not</w:t>
      </w:r>
      <w:r>
        <w:rPr>
          <w:color w:val="231F20"/>
          <w:spacing w:val="-5"/>
        </w:rPr>
        <w:t> </w:t>
      </w:r>
      <w:r>
        <w:rPr>
          <w:color w:val="231F20"/>
        </w:rPr>
        <w:t>leave</w:t>
      </w:r>
      <w:r>
        <w:rPr>
          <w:color w:val="231F20"/>
          <w:spacing w:val="-5"/>
        </w:rPr>
        <w:t> </w:t>
      </w:r>
      <w:r>
        <w:rPr>
          <w:color w:val="231F20"/>
        </w:rPr>
        <w:t>his</w:t>
      </w:r>
      <w:r>
        <w:rPr>
          <w:color w:val="231F20"/>
          <w:spacing w:val="-5"/>
        </w:rPr>
        <w:t> </w:t>
      </w:r>
      <w:r>
        <w:rPr>
          <w:color w:val="231F20"/>
        </w:rPr>
        <w:t>or</w:t>
      </w:r>
      <w:r>
        <w:rPr>
          <w:color w:val="231F20"/>
          <w:spacing w:val="-5"/>
        </w:rPr>
        <w:t> </w:t>
      </w:r>
      <w:r>
        <w:rPr>
          <w:color w:val="231F20"/>
        </w:rPr>
        <w:t>her</w:t>
      </w:r>
      <w:r>
        <w:rPr>
          <w:color w:val="231F20"/>
          <w:spacing w:val="-6"/>
        </w:rPr>
        <w:t> </w:t>
      </w:r>
      <w:r>
        <w:rPr>
          <w:color w:val="231F20"/>
        </w:rPr>
        <w:t>privacy</w:t>
      </w:r>
      <w:r>
        <w:rPr>
          <w:color w:val="231F20"/>
          <w:spacing w:val="-5"/>
        </w:rPr>
        <w:t> </w:t>
      </w:r>
      <w:r>
        <w:rPr>
          <w:color w:val="231F20"/>
        </w:rPr>
        <w:t>rights</w:t>
      </w:r>
      <w:r>
        <w:rPr>
          <w:color w:val="231F20"/>
          <w:spacing w:val="-5"/>
        </w:rPr>
        <w:t> </w:t>
      </w:r>
      <w:r>
        <w:rPr>
          <w:color w:val="231F20"/>
        </w:rPr>
        <w:t>at</w:t>
      </w:r>
      <w:r>
        <w:rPr>
          <w:color w:val="231F20"/>
          <w:spacing w:val="-5"/>
        </w:rPr>
        <w:t> </w:t>
      </w:r>
      <w:r>
        <w:rPr>
          <w:color w:val="231F20"/>
        </w:rPr>
        <w:t>the door—public employees are protected from unwarranted governmental intrusion by the Fourth Amendment. Equally clear, </w:t>
      </w:r>
      <w:r>
        <w:rPr>
          <w:color w:val="231F20"/>
          <w:spacing w:val="-3"/>
        </w:rPr>
        <w:t>however, </w:t>
      </w:r>
      <w:r>
        <w:rPr>
          <w:color w:val="231F20"/>
        </w:rPr>
        <w:t>is</w:t>
      </w:r>
      <w:r>
        <w:rPr>
          <w:color w:val="231F20"/>
          <w:spacing w:val="-9"/>
        </w:rPr>
        <w:t> </w:t>
      </w:r>
      <w:r>
        <w:rPr>
          <w:color w:val="231F20"/>
        </w:rPr>
        <w:t>the</w:t>
      </w:r>
      <w:r>
        <w:rPr>
          <w:color w:val="231F20"/>
          <w:spacing w:val="-8"/>
        </w:rPr>
        <w:t> </w:t>
      </w:r>
      <w:r>
        <w:rPr>
          <w:color w:val="231F20"/>
        </w:rPr>
        <w:t>public</w:t>
      </w:r>
      <w:r>
        <w:rPr>
          <w:color w:val="231F20"/>
          <w:spacing w:val="-8"/>
        </w:rPr>
        <w:t> </w:t>
      </w:r>
      <w:r>
        <w:rPr>
          <w:color w:val="231F20"/>
        </w:rPr>
        <w:t>employer’s</w:t>
      </w:r>
      <w:r>
        <w:rPr>
          <w:color w:val="231F20"/>
          <w:spacing w:val="-8"/>
        </w:rPr>
        <w:t> </w:t>
      </w:r>
      <w:r>
        <w:rPr>
          <w:color w:val="231F20"/>
        </w:rPr>
        <w:t>need</w:t>
      </w:r>
      <w:r>
        <w:rPr>
          <w:color w:val="231F20"/>
          <w:spacing w:val="-8"/>
        </w:rPr>
        <w:t> </w:t>
      </w:r>
      <w:r>
        <w:rPr>
          <w:color w:val="231F20"/>
        </w:rPr>
        <w:t>for</w:t>
      </w:r>
      <w:r>
        <w:rPr>
          <w:color w:val="231F20"/>
          <w:spacing w:val="-8"/>
        </w:rPr>
        <w:t> </w:t>
      </w:r>
      <w:r>
        <w:rPr>
          <w:color w:val="231F20"/>
        </w:rPr>
        <w:t>supervision,</w:t>
      </w:r>
    </w:p>
    <w:p>
      <w:pPr>
        <w:pStyle w:val="BodyText"/>
        <w:spacing w:line="249" w:lineRule="auto"/>
        <w:ind w:left="198" w:right="293"/>
        <w:jc w:val="both"/>
      </w:pPr>
      <w:r>
        <w:rPr/>
        <w:br w:type="column"/>
      </w:r>
      <w:r>
        <w:rPr>
          <w:color w:val="231F20"/>
        </w:rPr>
        <w:t>control, and efficient operation of the work- place. Thus, in addressing privacy issues for </w:t>
      </w:r>
      <w:r>
        <w:rPr>
          <w:color w:val="231F20"/>
          <w:spacing w:val="2"/>
        </w:rPr>
        <w:t>public employees, </w:t>
      </w:r>
      <w:r>
        <w:rPr>
          <w:color w:val="231F20"/>
        </w:rPr>
        <w:t>the </w:t>
      </w:r>
      <w:r>
        <w:rPr>
          <w:color w:val="231F20"/>
          <w:spacing w:val="2"/>
        </w:rPr>
        <w:t>Court balances </w:t>
      </w:r>
      <w:r>
        <w:rPr>
          <w:color w:val="231F20"/>
          <w:spacing w:val="3"/>
        </w:rPr>
        <w:t>the </w:t>
      </w:r>
      <w:r>
        <w:rPr>
          <w:color w:val="231F20"/>
        </w:rPr>
        <w:t>employee’s privacy right and the employer’s interest</w:t>
      </w:r>
      <w:r>
        <w:rPr>
          <w:color w:val="231F20"/>
          <w:spacing w:val="-20"/>
        </w:rPr>
        <w:t> </w:t>
      </w:r>
      <w:r>
        <w:rPr>
          <w:color w:val="231F20"/>
        </w:rPr>
        <w:t>in</w:t>
      </w:r>
      <w:r>
        <w:rPr>
          <w:color w:val="231F20"/>
          <w:spacing w:val="-20"/>
        </w:rPr>
        <w:t> </w:t>
      </w:r>
      <w:r>
        <w:rPr>
          <w:color w:val="231F20"/>
        </w:rPr>
        <w:t>the</w:t>
      </w:r>
      <w:r>
        <w:rPr>
          <w:color w:val="231F20"/>
          <w:spacing w:val="-19"/>
        </w:rPr>
        <w:t> </w:t>
      </w:r>
      <w:r>
        <w:rPr>
          <w:color w:val="231F20"/>
        </w:rPr>
        <w:t>efficient</w:t>
      </w:r>
      <w:r>
        <w:rPr>
          <w:color w:val="231F20"/>
          <w:spacing w:val="-20"/>
        </w:rPr>
        <w:t> </w:t>
      </w:r>
      <w:r>
        <w:rPr>
          <w:color w:val="231F20"/>
        </w:rPr>
        <w:t>and</w:t>
      </w:r>
      <w:r>
        <w:rPr>
          <w:color w:val="231F20"/>
          <w:spacing w:val="-19"/>
        </w:rPr>
        <w:t> </w:t>
      </w:r>
      <w:r>
        <w:rPr>
          <w:color w:val="231F20"/>
        </w:rPr>
        <w:t>proper</w:t>
      </w:r>
      <w:r>
        <w:rPr>
          <w:color w:val="231F20"/>
          <w:spacing w:val="-20"/>
        </w:rPr>
        <w:t> </w:t>
      </w:r>
      <w:r>
        <w:rPr>
          <w:color w:val="231F20"/>
        </w:rPr>
        <w:t>operation</w:t>
      </w:r>
      <w:r>
        <w:rPr>
          <w:color w:val="231F20"/>
          <w:spacing w:val="-19"/>
        </w:rPr>
        <w:t> </w:t>
      </w:r>
      <w:r>
        <w:rPr>
          <w:color w:val="231F20"/>
        </w:rPr>
        <w:t>of the</w:t>
      </w:r>
      <w:r>
        <w:rPr>
          <w:color w:val="231F20"/>
          <w:spacing w:val="-16"/>
        </w:rPr>
        <w:t> </w:t>
      </w:r>
      <w:r>
        <w:rPr>
          <w:color w:val="231F20"/>
        </w:rPr>
        <w:t>workplace.</w:t>
      </w:r>
      <w:r>
        <w:rPr>
          <w:color w:val="231F20"/>
          <w:spacing w:val="-16"/>
        </w:rPr>
        <w:t> </w:t>
      </w:r>
      <w:r>
        <w:rPr>
          <w:color w:val="231F20"/>
        </w:rPr>
        <w:t>While</w:t>
      </w:r>
      <w:r>
        <w:rPr>
          <w:color w:val="231F20"/>
          <w:spacing w:val="-16"/>
        </w:rPr>
        <w:t> </w:t>
      </w:r>
      <w:r>
        <w:rPr>
          <w:color w:val="231F20"/>
        </w:rPr>
        <w:t>the</w:t>
      </w:r>
      <w:r>
        <w:rPr>
          <w:color w:val="231F20"/>
          <w:spacing w:val="-16"/>
        </w:rPr>
        <w:t> </w:t>
      </w:r>
      <w:r>
        <w:rPr>
          <w:color w:val="231F20"/>
        </w:rPr>
        <w:t>Court’s</w:t>
      </w:r>
      <w:r>
        <w:rPr>
          <w:color w:val="231F20"/>
          <w:spacing w:val="-16"/>
        </w:rPr>
        <w:t> </w:t>
      </w:r>
      <w:r>
        <w:rPr>
          <w:color w:val="231F20"/>
        </w:rPr>
        <w:t>first</w:t>
      </w:r>
      <w:r>
        <w:rPr>
          <w:color w:val="231F20"/>
          <w:spacing w:val="-16"/>
        </w:rPr>
        <w:t> </w:t>
      </w:r>
      <w:r>
        <w:rPr>
          <w:color w:val="231F20"/>
        </w:rPr>
        <w:t>decision to</w:t>
      </w:r>
      <w:r>
        <w:rPr>
          <w:color w:val="231F20"/>
          <w:spacing w:val="-9"/>
        </w:rPr>
        <w:t> </w:t>
      </w:r>
      <w:r>
        <w:rPr>
          <w:color w:val="231F20"/>
        </w:rPr>
        <w:t>directly</w:t>
      </w:r>
      <w:r>
        <w:rPr>
          <w:color w:val="231F20"/>
          <w:spacing w:val="-8"/>
        </w:rPr>
        <w:t> </w:t>
      </w:r>
      <w:r>
        <w:rPr>
          <w:color w:val="231F20"/>
        </w:rPr>
        <w:t>address</w:t>
      </w:r>
      <w:r>
        <w:rPr>
          <w:color w:val="231F20"/>
          <w:spacing w:val="-9"/>
        </w:rPr>
        <w:t> </w:t>
      </w:r>
      <w:r>
        <w:rPr>
          <w:color w:val="231F20"/>
        </w:rPr>
        <w:t>the</w:t>
      </w:r>
      <w:r>
        <w:rPr>
          <w:color w:val="231F20"/>
          <w:spacing w:val="-8"/>
        </w:rPr>
        <w:t> </w:t>
      </w:r>
      <w:r>
        <w:rPr>
          <w:color w:val="231F20"/>
        </w:rPr>
        <w:t>privacy</w:t>
      </w:r>
      <w:r>
        <w:rPr>
          <w:color w:val="231F20"/>
          <w:spacing w:val="-8"/>
        </w:rPr>
        <w:t> </w:t>
      </w:r>
      <w:r>
        <w:rPr>
          <w:color w:val="231F20"/>
        </w:rPr>
        <w:t>rights</w:t>
      </w:r>
      <w:r>
        <w:rPr>
          <w:color w:val="231F20"/>
          <w:spacing w:val="-9"/>
        </w:rPr>
        <w:t> </w:t>
      </w:r>
      <w:r>
        <w:rPr>
          <w:color w:val="231F20"/>
        </w:rPr>
        <w:t>of</w:t>
      </w:r>
      <w:r>
        <w:rPr>
          <w:color w:val="231F20"/>
          <w:spacing w:val="-8"/>
        </w:rPr>
        <w:t> </w:t>
      </w:r>
      <w:r>
        <w:rPr>
          <w:color w:val="231F20"/>
        </w:rPr>
        <w:t>public employees resulted in a plurality </w:t>
      </w:r>
      <w:r>
        <w:rPr>
          <w:color w:val="231F20"/>
          <w:spacing w:val="27"/>
        </w:rPr>
        <w:t> </w:t>
      </w:r>
      <w:r>
        <w:rPr>
          <w:color w:val="231F20"/>
        </w:rPr>
        <w:t>opinion,</w:t>
      </w:r>
      <w:r>
        <w:rPr>
          <w:color w:val="231F20"/>
          <w:position w:val="7"/>
          <w:sz w:val="12"/>
        </w:rPr>
        <w:t>1  </w:t>
      </w:r>
      <w:r>
        <w:rPr>
          <w:color w:val="231F20"/>
        </w:rPr>
        <w:t>it</w:t>
      </w:r>
    </w:p>
    <w:p>
      <w:pPr>
        <w:spacing w:line="222" w:lineRule="exact" w:before="0"/>
        <w:ind w:left="1812" w:right="0" w:firstLine="0"/>
        <w:jc w:val="both"/>
        <w:rPr>
          <w:i/>
          <w:sz w:val="20"/>
        </w:rPr>
      </w:pPr>
      <w:r>
        <w:rPr>
          <w:i/>
          <w:color w:val="231F20"/>
          <w:sz w:val="20"/>
        </w:rPr>
        <w:t>See “Just Say No,” page</w:t>
      </w:r>
      <w:r>
        <w:rPr>
          <w:i/>
          <w:color w:val="231F20"/>
          <w:spacing w:val="-8"/>
          <w:sz w:val="20"/>
        </w:rPr>
        <w:t> </w:t>
      </w:r>
      <w:r>
        <w:rPr>
          <w:i/>
          <w:color w:val="231F20"/>
          <w:sz w:val="20"/>
        </w:rPr>
        <w:t>8</w:t>
      </w:r>
    </w:p>
    <w:p>
      <w:pPr>
        <w:spacing w:after="0" w:line="222" w:lineRule="exact"/>
        <w:jc w:val="both"/>
        <w:rPr>
          <w:sz w:val="20"/>
        </w:rPr>
        <w:sectPr>
          <w:type w:val="continuous"/>
          <w:pgSz w:w="12240" w:h="15840"/>
          <w:pgMar w:top="500" w:bottom="280" w:left="720" w:right="540"/>
          <w:cols w:num="3" w:equalWidth="0">
            <w:col w:w="2230" w:space="80"/>
            <w:col w:w="4172" w:space="40"/>
            <w:col w:w="4458"/>
          </w:cols>
        </w:sectPr>
      </w:pPr>
    </w:p>
    <w:p>
      <w:pPr>
        <w:pStyle w:val="Heading9"/>
        <w:spacing w:line="228" w:lineRule="auto"/>
      </w:pPr>
      <w:r>
        <w:rPr>
          <w:color w:val="FFF200"/>
        </w:rPr>
        <w:t>REGISTER NOW!</w:t>
      </w:r>
    </w:p>
    <w:p>
      <w:pPr>
        <w:pStyle w:val="BodyText"/>
        <w:spacing w:before="13"/>
        <w:rPr>
          <w:rFonts w:ascii="Arial Black"/>
          <w:sz w:val="34"/>
        </w:rPr>
      </w:pPr>
    </w:p>
    <w:p>
      <w:pPr>
        <w:pStyle w:val="Heading7"/>
        <w:spacing w:line="254" w:lineRule="auto"/>
        <w:ind w:right="38"/>
      </w:pPr>
      <w:r>
        <w:rPr>
          <w:color w:val="FFFFFF"/>
        </w:rPr>
        <w:t>Advanced Labor </w:t>
      </w:r>
      <w:r>
        <w:rPr>
          <w:color w:val="FFFFFF"/>
          <w:spacing w:val="-5"/>
        </w:rPr>
        <w:t>Topics </w:t>
      </w:r>
      <w:r>
        <w:rPr>
          <w:color w:val="FFFFFF"/>
          <w:spacing w:val="-18"/>
        </w:rPr>
        <w:t>2019</w:t>
      </w:r>
    </w:p>
    <w:p>
      <w:pPr>
        <w:spacing w:before="247"/>
        <w:ind w:left="256" w:right="79" w:firstLine="0"/>
        <w:jc w:val="center"/>
        <w:rPr>
          <w:b/>
          <w:sz w:val="28"/>
        </w:rPr>
      </w:pPr>
      <w:r>
        <w:rPr>
          <w:b/>
          <w:color w:val="FFFFFF"/>
          <w:sz w:val="28"/>
        </w:rPr>
        <w:t>April 12-13</w:t>
      </w:r>
    </w:p>
    <w:p>
      <w:pPr>
        <w:spacing w:line="183" w:lineRule="exact" w:before="260"/>
        <w:ind w:left="256" w:right="79" w:firstLine="0"/>
        <w:jc w:val="center"/>
        <w:rPr>
          <w:b/>
          <w:sz w:val="19"/>
        </w:rPr>
      </w:pPr>
      <w:r>
        <w:rPr>
          <w:b/>
          <w:color w:val="FFFFFF"/>
          <w:sz w:val="19"/>
        </w:rPr>
        <w:t>Wyndham Grand</w:t>
      </w:r>
    </w:p>
    <w:p>
      <w:pPr>
        <w:spacing w:line="199" w:lineRule="auto" w:before="420"/>
        <w:ind w:left="626" w:right="399" w:firstLine="1240"/>
        <w:jc w:val="left"/>
        <w:rPr>
          <w:rFonts w:ascii="Arial Black"/>
          <w:sz w:val="43"/>
        </w:rPr>
      </w:pPr>
      <w:r>
        <w:rPr/>
        <w:br w:type="column"/>
      </w:r>
      <w:r>
        <w:rPr>
          <w:rFonts w:ascii="Arial Black"/>
          <w:color w:val="231F20"/>
          <w:sz w:val="42"/>
          <w:u w:val="thick" w:color="231F20"/>
        </w:rPr>
        <w:t>It Says What It Says:</w:t>
      </w:r>
      <w:r>
        <w:rPr>
          <w:rFonts w:ascii="Arial Black"/>
          <w:color w:val="231F20"/>
          <w:sz w:val="42"/>
        </w:rPr>
        <w:t> </w:t>
      </w:r>
      <w:r>
        <w:rPr>
          <w:rFonts w:ascii="Arial Black"/>
          <w:color w:val="231F20"/>
          <w:sz w:val="43"/>
        </w:rPr>
        <w:t>Florida Supreme Court Holds Proposals for Settlement Need</w:t>
      </w:r>
    </w:p>
    <w:p>
      <w:pPr>
        <w:pStyle w:val="Heading3"/>
        <w:spacing w:line="187" w:lineRule="auto"/>
        <w:ind w:left="228"/>
      </w:pPr>
      <w:r>
        <w:rPr>
          <w:color w:val="231F20"/>
        </w:rPr>
        <w:t>Not be Served by E-mail, Pursuant to the Plain Language of the Statute and Rule</w:t>
      </w:r>
    </w:p>
    <w:p>
      <w:pPr>
        <w:spacing w:before="101"/>
        <w:ind w:left="228" w:right="356" w:firstLine="0"/>
        <w:jc w:val="center"/>
        <w:rPr>
          <w:b/>
          <w:sz w:val="22"/>
        </w:rPr>
      </w:pPr>
      <w:r>
        <w:rPr>
          <w:b/>
          <w:color w:val="231F20"/>
          <w:sz w:val="22"/>
        </w:rPr>
        <w:t>By Viktoryia Johnson, Tampa</w:t>
      </w:r>
    </w:p>
    <w:p>
      <w:pPr>
        <w:spacing w:after="0"/>
        <w:jc w:val="center"/>
        <w:rPr>
          <w:sz w:val="22"/>
        </w:rPr>
        <w:sectPr>
          <w:type w:val="continuous"/>
          <w:pgSz w:w="12240" w:h="15840"/>
          <w:pgMar w:top="500" w:bottom="280" w:left="720" w:right="540"/>
          <w:cols w:num="2" w:equalWidth="0">
            <w:col w:w="2223" w:space="127"/>
            <w:col w:w="8630"/>
          </w:cols>
        </w:sectPr>
      </w:pPr>
    </w:p>
    <w:p>
      <w:pPr>
        <w:spacing w:line="283" w:lineRule="auto" w:before="75"/>
        <w:ind w:left="282" w:right="37" w:firstLine="0"/>
        <w:jc w:val="center"/>
        <w:rPr>
          <w:b/>
          <w:sz w:val="19"/>
        </w:rPr>
      </w:pPr>
      <w:r>
        <w:rPr>
          <w:b/>
          <w:color w:val="FFFFFF"/>
          <w:sz w:val="19"/>
        </w:rPr>
        <w:t>Jupiter at Harbourside Place</w:t>
      </w:r>
    </w:p>
    <w:p>
      <w:pPr>
        <w:pStyle w:val="BodyText"/>
        <w:spacing w:before="11"/>
        <w:rPr>
          <w:b/>
        </w:rPr>
      </w:pPr>
    </w:p>
    <w:p>
      <w:pPr>
        <w:spacing w:before="0"/>
        <w:ind w:left="282" w:right="36" w:firstLine="0"/>
        <w:jc w:val="center"/>
        <w:rPr>
          <w:b/>
          <w:sz w:val="19"/>
        </w:rPr>
      </w:pPr>
      <w:r>
        <w:rPr>
          <w:b/>
          <w:color w:val="FFFFFF"/>
          <w:sz w:val="19"/>
        </w:rPr>
        <w:t>Jupiter,</w:t>
      </w:r>
      <w:r>
        <w:rPr>
          <w:b/>
          <w:color w:val="FFFFFF"/>
          <w:spacing w:val="-2"/>
          <w:sz w:val="19"/>
        </w:rPr>
        <w:t> </w:t>
      </w:r>
      <w:r>
        <w:rPr>
          <w:b/>
          <w:color w:val="FFFFFF"/>
          <w:sz w:val="19"/>
        </w:rPr>
        <w:t>FL</w:t>
      </w:r>
    </w:p>
    <w:p>
      <w:pPr>
        <w:pStyle w:val="BodyText"/>
        <w:rPr>
          <w:b/>
          <w:sz w:val="22"/>
        </w:rPr>
      </w:pPr>
    </w:p>
    <w:p>
      <w:pPr>
        <w:pStyle w:val="BodyText"/>
        <w:spacing w:before="4"/>
        <w:rPr>
          <w:b/>
          <w:sz w:val="29"/>
        </w:rPr>
      </w:pPr>
    </w:p>
    <w:p>
      <w:pPr>
        <w:spacing w:line="264" w:lineRule="auto" w:before="0"/>
        <w:ind w:left="282" w:right="38" w:firstLine="0"/>
        <w:jc w:val="center"/>
        <w:rPr>
          <w:i/>
          <w:sz w:val="19"/>
        </w:rPr>
      </w:pPr>
      <w:hyperlink w:history="true" w:anchor="_bookmark2">
        <w:r>
          <w:rPr>
            <w:i/>
            <w:color w:val="FFF200"/>
            <w:sz w:val="19"/>
          </w:rPr>
          <w:t>For more information, </w:t>
        </w:r>
        <w:r>
          <w:rPr>
            <w:i/>
            <w:color w:val="FFF200"/>
            <w:sz w:val="19"/>
          </w:rPr>
          <w:t>see page</w:t>
        </w:r>
        <w:r>
          <w:rPr>
            <w:i/>
            <w:color w:val="FFF200"/>
            <w:spacing w:val="1"/>
            <w:sz w:val="19"/>
          </w:rPr>
          <w:t> </w:t>
        </w:r>
        <w:r>
          <w:rPr>
            <w:i/>
            <w:color w:val="FFF200"/>
            <w:sz w:val="19"/>
          </w:rPr>
          <w:t>3</w:t>
        </w:r>
      </w:hyperlink>
    </w:p>
    <w:p>
      <w:pPr>
        <w:pStyle w:val="BodyText"/>
        <w:spacing w:line="249" w:lineRule="auto"/>
        <w:ind w:left="282" w:firstLine="180"/>
        <w:jc w:val="both"/>
      </w:pPr>
      <w:r>
        <w:rPr/>
        <w:br w:type="column"/>
      </w:r>
      <w:r>
        <w:rPr>
          <w:color w:val="231F20"/>
        </w:rPr>
        <w:t>Florida</w:t>
      </w:r>
      <w:r>
        <w:rPr>
          <w:color w:val="231F20"/>
          <w:spacing w:val="-15"/>
        </w:rPr>
        <w:t> </w:t>
      </w:r>
      <w:r>
        <w:rPr>
          <w:color w:val="231F20"/>
        </w:rPr>
        <w:t>civil</w:t>
      </w:r>
      <w:r>
        <w:rPr>
          <w:color w:val="231F20"/>
          <w:spacing w:val="-15"/>
        </w:rPr>
        <w:t> </w:t>
      </w:r>
      <w:r>
        <w:rPr>
          <w:color w:val="231F20"/>
        </w:rPr>
        <w:t>litigators</w:t>
      </w:r>
      <w:r>
        <w:rPr>
          <w:color w:val="231F20"/>
          <w:spacing w:val="-16"/>
        </w:rPr>
        <w:t> </w:t>
      </w:r>
      <w:r>
        <w:rPr>
          <w:color w:val="231F20"/>
        </w:rPr>
        <w:t>are</w:t>
      </w:r>
      <w:r>
        <w:rPr>
          <w:color w:val="231F20"/>
          <w:spacing w:val="-16"/>
        </w:rPr>
        <w:t> </w:t>
      </w:r>
      <w:r>
        <w:rPr>
          <w:color w:val="231F20"/>
        </w:rPr>
        <w:t>undoubtedly</w:t>
      </w:r>
      <w:r>
        <w:rPr>
          <w:color w:val="231F20"/>
          <w:spacing w:val="-14"/>
        </w:rPr>
        <w:t> </w:t>
      </w:r>
      <w:r>
        <w:rPr>
          <w:color w:val="231F20"/>
        </w:rPr>
        <w:t>famil- iar</w:t>
      </w:r>
      <w:r>
        <w:rPr>
          <w:color w:val="231F20"/>
          <w:spacing w:val="-14"/>
        </w:rPr>
        <w:t> </w:t>
      </w:r>
      <w:r>
        <w:rPr>
          <w:color w:val="231F20"/>
        </w:rPr>
        <w:t>with</w:t>
      </w:r>
      <w:r>
        <w:rPr>
          <w:color w:val="231F20"/>
          <w:spacing w:val="-13"/>
        </w:rPr>
        <w:t> </w:t>
      </w:r>
      <w:r>
        <w:rPr>
          <w:color w:val="231F20"/>
        </w:rPr>
        <w:t>the</w:t>
      </w:r>
      <w:r>
        <w:rPr>
          <w:color w:val="231F20"/>
          <w:spacing w:val="-13"/>
        </w:rPr>
        <w:t> </w:t>
      </w:r>
      <w:r>
        <w:rPr>
          <w:color w:val="231F20"/>
        </w:rPr>
        <w:t>proposal</w:t>
      </w:r>
      <w:r>
        <w:rPr>
          <w:color w:val="231F20"/>
          <w:spacing w:val="-13"/>
        </w:rPr>
        <w:t> </w:t>
      </w:r>
      <w:r>
        <w:rPr>
          <w:color w:val="231F20"/>
        </w:rPr>
        <w:t>of</w:t>
      </w:r>
      <w:r>
        <w:rPr>
          <w:color w:val="231F20"/>
          <w:spacing w:val="-13"/>
        </w:rPr>
        <w:t> </w:t>
      </w:r>
      <w:r>
        <w:rPr>
          <w:color w:val="231F20"/>
        </w:rPr>
        <w:t>settlement</w:t>
      </w:r>
      <w:r>
        <w:rPr>
          <w:color w:val="231F20"/>
          <w:spacing w:val="-13"/>
        </w:rPr>
        <w:t> </w:t>
      </w:r>
      <w:r>
        <w:rPr>
          <w:color w:val="231F20"/>
        </w:rPr>
        <w:t>fee-shifting mechanism available under section 768.79 of the Florida Statutes and rule 1.442 of the Florida Rules of Civil Procedure. The use of proposals for settlement may be particularly advantageous in employment cases where the standard for an award of attorneys’ fees to prevailing defendants is “stringent,”</w:t>
      </w:r>
      <w:r>
        <w:rPr>
          <w:color w:val="231F20"/>
          <w:position w:val="7"/>
          <w:sz w:val="12"/>
        </w:rPr>
        <w:t>1 </w:t>
      </w:r>
      <w:r>
        <w:rPr>
          <w:color w:val="231F20"/>
        </w:rPr>
        <w:t>if</w:t>
      </w:r>
      <w:r>
        <w:rPr>
          <w:color w:val="231F20"/>
          <w:spacing w:val="34"/>
        </w:rPr>
        <w:t> </w:t>
      </w:r>
      <w:r>
        <w:rPr>
          <w:color w:val="231F20"/>
        </w:rPr>
        <w:t>not</w:t>
      </w:r>
    </w:p>
    <w:p>
      <w:pPr>
        <w:pStyle w:val="BodyText"/>
        <w:spacing w:line="249" w:lineRule="auto"/>
        <w:ind w:left="198" w:right="294"/>
        <w:jc w:val="both"/>
      </w:pPr>
      <w:r>
        <w:rPr/>
        <w:br w:type="column"/>
      </w:r>
      <w:r>
        <w:rPr>
          <w:color w:val="231F20"/>
          <w:spacing w:val="2"/>
        </w:rPr>
        <w:t>entirely unattainable. </w:t>
      </w:r>
      <w:r>
        <w:rPr>
          <w:color w:val="231F20"/>
        </w:rPr>
        <w:t>For </w:t>
      </w:r>
      <w:r>
        <w:rPr>
          <w:color w:val="231F20"/>
          <w:spacing w:val="2"/>
        </w:rPr>
        <w:t>example, </w:t>
      </w:r>
      <w:r>
        <w:rPr>
          <w:color w:val="231F20"/>
        </w:rPr>
        <w:t>in </w:t>
      </w:r>
      <w:r>
        <w:rPr>
          <w:color w:val="231F20"/>
          <w:spacing w:val="3"/>
        </w:rPr>
        <w:t>civil </w:t>
      </w:r>
      <w:r>
        <w:rPr>
          <w:color w:val="231F20"/>
        </w:rPr>
        <w:t>rights</w:t>
      </w:r>
      <w:r>
        <w:rPr>
          <w:color w:val="231F20"/>
          <w:spacing w:val="-11"/>
        </w:rPr>
        <w:t> </w:t>
      </w:r>
      <w:r>
        <w:rPr>
          <w:color w:val="231F20"/>
        </w:rPr>
        <w:t>cases,</w:t>
      </w:r>
      <w:r>
        <w:rPr>
          <w:color w:val="231F20"/>
          <w:spacing w:val="-11"/>
        </w:rPr>
        <w:t> </w:t>
      </w:r>
      <w:r>
        <w:rPr>
          <w:color w:val="231F20"/>
        </w:rPr>
        <w:t>attorneys’</w:t>
      </w:r>
      <w:r>
        <w:rPr>
          <w:color w:val="231F20"/>
          <w:spacing w:val="-17"/>
        </w:rPr>
        <w:t> </w:t>
      </w:r>
      <w:r>
        <w:rPr>
          <w:color w:val="231F20"/>
        </w:rPr>
        <w:t>fees</w:t>
      </w:r>
      <w:r>
        <w:rPr>
          <w:color w:val="231F20"/>
          <w:spacing w:val="-11"/>
        </w:rPr>
        <w:t> </w:t>
      </w:r>
      <w:r>
        <w:rPr>
          <w:color w:val="231F20"/>
        </w:rPr>
        <w:t>may</w:t>
      </w:r>
      <w:r>
        <w:rPr>
          <w:color w:val="231F20"/>
          <w:spacing w:val="-10"/>
        </w:rPr>
        <w:t> </w:t>
      </w:r>
      <w:r>
        <w:rPr>
          <w:color w:val="231F20"/>
        </w:rPr>
        <w:t>be</w:t>
      </w:r>
      <w:r>
        <w:rPr>
          <w:color w:val="231F20"/>
          <w:spacing w:val="-11"/>
        </w:rPr>
        <w:t> </w:t>
      </w:r>
      <w:r>
        <w:rPr>
          <w:color w:val="231F20"/>
        </w:rPr>
        <w:t>awarded to</w:t>
      </w:r>
      <w:r>
        <w:rPr>
          <w:color w:val="231F20"/>
          <w:spacing w:val="-21"/>
        </w:rPr>
        <w:t> </w:t>
      </w:r>
      <w:r>
        <w:rPr>
          <w:color w:val="231F20"/>
        </w:rPr>
        <w:t>the</w:t>
      </w:r>
      <w:r>
        <w:rPr>
          <w:color w:val="231F20"/>
          <w:spacing w:val="-20"/>
        </w:rPr>
        <w:t> </w:t>
      </w:r>
      <w:r>
        <w:rPr>
          <w:color w:val="231F20"/>
        </w:rPr>
        <w:t>prevailing</w:t>
      </w:r>
      <w:r>
        <w:rPr>
          <w:color w:val="231F20"/>
          <w:spacing w:val="-21"/>
        </w:rPr>
        <w:t> </w:t>
      </w:r>
      <w:r>
        <w:rPr>
          <w:color w:val="231F20"/>
        </w:rPr>
        <w:t>defendant</w:t>
      </w:r>
      <w:r>
        <w:rPr>
          <w:color w:val="231F20"/>
          <w:spacing w:val="-20"/>
        </w:rPr>
        <w:t> </w:t>
      </w:r>
      <w:r>
        <w:rPr>
          <w:color w:val="231F20"/>
        </w:rPr>
        <w:t>only</w:t>
      </w:r>
      <w:r>
        <w:rPr>
          <w:color w:val="231F20"/>
          <w:spacing w:val="-20"/>
        </w:rPr>
        <w:t> </w:t>
      </w:r>
      <w:r>
        <w:rPr>
          <w:color w:val="231F20"/>
        </w:rPr>
        <w:t>upon</w:t>
      </w:r>
      <w:r>
        <w:rPr>
          <w:color w:val="231F20"/>
          <w:spacing w:val="-21"/>
        </w:rPr>
        <w:t> </w:t>
      </w:r>
      <w:r>
        <w:rPr>
          <w:color w:val="231F20"/>
        </w:rPr>
        <w:t>a</w:t>
      </w:r>
      <w:r>
        <w:rPr>
          <w:color w:val="231F20"/>
          <w:spacing w:val="-20"/>
        </w:rPr>
        <w:t> </w:t>
      </w:r>
      <w:r>
        <w:rPr>
          <w:color w:val="231F20"/>
        </w:rPr>
        <w:t>finding of frivolousness.</w:t>
      </w:r>
      <w:r>
        <w:rPr>
          <w:color w:val="231F20"/>
          <w:position w:val="7"/>
          <w:sz w:val="12"/>
        </w:rPr>
        <w:t>2 </w:t>
      </w:r>
      <w:r>
        <w:rPr>
          <w:color w:val="231F20"/>
        </w:rPr>
        <w:t>That is a high</w:t>
      </w:r>
      <w:r>
        <w:rPr>
          <w:color w:val="231F20"/>
          <w:spacing w:val="-22"/>
        </w:rPr>
        <w:t> </w:t>
      </w:r>
      <w:r>
        <w:rPr>
          <w:color w:val="231F20"/>
        </w:rPr>
        <w:t>ceiling.</w:t>
      </w:r>
    </w:p>
    <w:p>
      <w:pPr>
        <w:pStyle w:val="BodyText"/>
        <w:spacing w:line="249" w:lineRule="auto"/>
        <w:ind w:left="198" w:right="293" w:firstLine="180"/>
        <w:jc w:val="right"/>
      </w:pPr>
      <w:r>
        <w:rPr>
          <w:color w:val="231F20"/>
        </w:rPr>
        <w:t>A </w:t>
      </w:r>
      <w:r>
        <w:rPr>
          <w:color w:val="231F20"/>
          <w:spacing w:val="6"/>
        </w:rPr>
        <w:t>thorough understanding </w:t>
      </w:r>
      <w:r>
        <w:rPr>
          <w:color w:val="231F20"/>
          <w:spacing w:val="3"/>
        </w:rPr>
        <w:t>of</w:t>
      </w:r>
      <w:r>
        <w:rPr>
          <w:color w:val="231F20"/>
          <w:spacing w:val="-24"/>
        </w:rPr>
        <w:t> </w:t>
      </w:r>
      <w:r>
        <w:rPr>
          <w:color w:val="231F20"/>
          <w:spacing w:val="4"/>
        </w:rPr>
        <w:t>the</w:t>
      </w:r>
      <w:r>
        <w:rPr>
          <w:color w:val="231F20"/>
          <w:spacing w:val="45"/>
        </w:rPr>
        <w:t> </w:t>
      </w:r>
      <w:r>
        <w:rPr>
          <w:color w:val="231F20"/>
          <w:spacing w:val="7"/>
        </w:rPr>
        <w:t>form, </w:t>
      </w:r>
      <w:r>
        <w:rPr>
          <w:color w:val="231F20"/>
        </w:rPr>
        <w:t>service, and content requirements of</w:t>
      </w:r>
      <w:r>
        <w:rPr>
          <w:color w:val="231F20"/>
          <w:spacing w:val="32"/>
        </w:rPr>
        <w:t> </w:t>
      </w:r>
      <w:r>
        <w:rPr>
          <w:color w:val="231F20"/>
        </w:rPr>
        <w:t>section</w:t>
      </w:r>
    </w:p>
    <w:p>
      <w:pPr>
        <w:pStyle w:val="ListParagraph"/>
        <w:numPr>
          <w:ilvl w:val="1"/>
          <w:numId w:val="1"/>
        </w:numPr>
        <w:tabs>
          <w:tab w:pos="859" w:val="left" w:leader="none"/>
        </w:tabs>
        <w:spacing w:line="242" w:lineRule="auto" w:before="0" w:after="0"/>
        <w:ind w:left="198" w:right="297" w:firstLine="0"/>
        <w:jc w:val="right"/>
        <w:rPr>
          <w:i/>
          <w:sz w:val="20"/>
        </w:rPr>
      </w:pPr>
      <w:r>
        <w:rPr>
          <w:color w:val="231F20"/>
          <w:sz w:val="20"/>
        </w:rPr>
        <w:t>and</w:t>
      </w:r>
      <w:r>
        <w:rPr>
          <w:color w:val="231F20"/>
          <w:spacing w:val="-9"/>
          <w:sz w:val="20"/>
        </w:rPr>
        <w:t> </w:t>
      </w:r>
      <w:r>
        <w:rPr>
          <w:color w:val="231F20"/>
          <w:sz w:val="20"/>
        </w:rPr>
        <w:t>rule</w:t>
      </w:r>
      <w:r>
        <w:rPr>
          <w:color w:val="231F20"/>
          <w:spacing w:val="-9"/>
          <w:sz w:val="20"/>
        </w:rPr>
        <w:t> </w:t>
      </w:r>
      <w:r>
        <w:rPr>
          <w:color w:val="231F20"/>
          <w:sz w:val="20"/>
        </w:rPr>
        <w:t>1.442</w:t>
      </w:r>
      <w:r>
        <w:rPr>
          <w:color w:val="231F20"/>
          <w:spacing w:val="-9"/>
          <w:sz w:val="20"/>
        </w:rPr>
        <w:t> </w:t>
      </w:r>
      <w:r>
        <w:rPr>
          <w:color w:val="231F20"/>
          <w:sz w:val="20"/>
        </w:rPr>
        <w:t>is</w:t>
      </w:r>
      <w:r>
        <w:rPr>
          <w:color w:val="231F20"/>
          <w:spacing w:val="-9"/>
          <w:sz w:val="20"/>
        </w:rPr>
        <w:t> </w:t>
      </w:r>
      <w:r>
        <w:rPr>
          <w:color w:val="231F20"/>
          <w:sz w:val="20"/>
        </w:rPr>
        <w:t>a</w:t>
      </w:r>
      <w:r>
        <w:rPr>
          <w:color w:val="231F20"/>
          <w:spacing w:val="-9"/>
          <w:sz w:val="20"/>
        </w:rPr>
        <w:t> </w:t>
      </w:r>
      <w:r>
        <w:rPr>
          <w:color w:val="231F20"/>
          <w:sz w:val="20"/>
        </w:rPr>
        <w:t>must</w:t>
      </w:r>
      <w:r>
        <w:rPr>
          <w:color w:val="231F20"/>
          <w:spacing w:val="-9"/>
          <w:sz w:val="20"/>
        </w:rPr>
        <w:t> </w:t>
      </w:r>
      <w:r>
        <w:rPr>
          <w:color w:val="231F20"/>
          <w:sz w:val="20"/>
        </w:rPr>
        <w:t>when</w:t>
      </w:r>
      <w:r>
        <w:rPr>
          <w:color w:val="231F20"/>
          <w:spacing w:val="-8"/>
          <w:sz w:val="20"/>
        </w:rPr>
        <w:t> </w:t>
      </w:r>
      <w:r>
        <w:rPr>
          <w:color w:val="231F20"/>
          <w:sz w:val="20"/>
        </w:rPr>
        <w:t>engag- ing the proposal for</w:t>
      </w:r>
      <w:r>
        <w:rPr>
          <w:color w:val="231F20"/>
          <w:spacing w:val="46"/>
          <w:sz w:val="20"/>
        </w:rPr>
        <w:t> </w:t>
      </w:r>
      <w:r>
        <w:rPr>
          <w:color w:val="231F20"/>
          <w:sz w:val="20"/>
        </w:rPr>
        <w:t>settlement</w:t>
      </w:r>
      <w:r>
        <w:rPr>
          <w:color w:val="231F20"/>
          <w:spacing w:val="25"/>
          <w:sz w:val="20"/>
        </w:rPr>
        <w:t> </w:t>
      </w:r>
      <w:r>
        <w:rPr>
          <w:color w:val="231F20"/>
          <w:sz w:val="20"/>
        </w:rPr>
        <w:t>mechanism, </w:t>
      </w:r>
      <w:r>
        <w:rPr>
          <w:i/>
          <w:color w:val="231F20"/>
          <w:sz w:val="20"/>
        </w:rPr>
        <w:t>See “It Says What It Says,” page</w:t>
      </w:r>
      <w:r>
        <w:rPr>
          <w:i/>
          <w:color w:val="231F20"/>
          <w:spacing w:val="-4"/>
          <w:sz w:val="20"/>
        </w:rPr>
        <w:t> </w:t>
      </w:r>
      <w:r>
        <w:rPr>
          <w:i/>
          <w:color w:val="231F20"/>
          <w:spacing w:val="-8"/>
          <w:sz w:val="20"/>
        </w:rPr>
        <w:t>11</w:t>
      </w:r>
    </w:p>
    <w:p>
      <w:pPr>
        <w:spacing w:after="0" w:line="242" w:lineRule="auto"/>
        <w:jc w:val="right"/>
        <w:rPr>
          <w:sz w:val="20"/>
        </w:rPr>
        <w:sectPr>
          <w:type w:val="continuous"/>
          <w:pgSz w:w="12240" w:h="15840"/>
          <w:pgMar w:top="500" w:bottom="280" w:left="720" w:right="540"/>
          <w:cols w:num="3" w:equalWidth="0">
            <w:col w:w="2158" w:space="80"/>
            <w:col w:w="4244" w:space="39"/>
            <w:col w:w="4459"/>
          </w:cols>
        </w:sect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spacing w:before="134"/>
        <w:ind w:left="898" w:right="0" w:firstLine="0"/>
        <w:jc w:val="left"/>
        <w:rPr>
          <w:sz w:val="16"/>
        </w:rPr>
      </w:pPr>
      <w:bookmarkStart w:name="_bookmark0" w:id="1"/>
      <w:bookmarkEnd w:id="1"/>
      <w:r>
        <w:rPr/>
      </w:r>
      <w:r>
        <w:rPr>
          <w:color w:val="231F20"/>
          <w:sz w:val="16"/>
        </w:rPr>
        <w:t>CATHLEEN A. </w:t>
      </w:r>
      <w:r>
        <w:rPr>
          <w:color w:val="231F20"/>
          <w:spacing w:val="-4"/>
          <w:sz w:val="16"/>
        </w:rPr>
        <w:t>SCOTT</w:t>
      </w:r>
    </w:p>
    <w:p>
      <w:pPr>
        <w:pStyle w:val="Heading1"/>
        <w:ind w:left="809"/>
        <w:jc w:val="left"/>
      </w:pPr>
      <w:r>
        <w:rPr/>
        <w:br w:type="column"/>
      </w:r>
      <w:r>
        <w:rPr>
          <w:color w:val="231F20"/>
        </w:rPr>
        <w:t>Chair’s Message</w:t>
      </w:r>
    </w:p>
    <w:p>
      <w:pPr>
        <w:pStyle w:val="BodyText"/>
        <w:spacing w:before="109"/>
        <w:ind w:left="385" w:right="865" w:firstLine="180"/>
        <w:jc w:val="both"/>
      </w:pPr>
      <w:r>
        <w:rPr>
          <w:color w:val="231F20"/>
        </w:rPr>
        <w:t>As</w:t>
      </w:r>
      <w:r>
        <w:rPr>
          <w:color w:val="231F20"/>
          <w:spacing w:val="-21"/>
        </w:rPr>
        <w:t> </w:t>
      </w:r>
      <w:r>
        <w:rPr>
          <w:color w:val="231F20"/>
        </w:rPr>
        <w:t>the</w:t>
      </w:r>
      <w:r>
        <w:rPr>
          <w:color w:val="231F20"/>
          <w:spacing w:val="-21"/>
        </w:rPr>
        <w:t> </w:t>
      </w:r>
      <w:r>
        <w:rPr>
          <w:color w:val="231F20"/>
        </w:rPr>
        <w:t>section</w:t>
      </w:r>
      <w:r>
        <w:rPr>
          <w:color w:val="231F20"/>
          <w:spacing w:val="-21"/>
        </w:rPr>
        <w:t> </w:t>
      </w:r>
      <w:r>
        <w:rPr>
          <w:color w:val="231F20"/>
        </w:rPr>
        <w:t>year</w:t>
      </w:r>
      <w:r>
        <w:rPr>
          <w:color w:val="231F20"/>
          <w:spacing w:val="-20"/>
        </w:rPr>
        <w:t> </w:t>
      </w:r>
      <w:r>
        <w:rPr>
          <w:color w:val="231F20"/>
        </w:rPr>
        <w:t>winds</w:t>
      </w:r>
      <w:r>
        <w:rPr>
          <w:color w:val="231F20"/>
          <w:spacing w:val="-21"/>
        </w:rPr>
        <w:t> </w:t>
      </w:r>
      <w:r>
        <w:rPr>
          <w:color w:val="231F20"/>
        </w:rPr>
        <w:t>towards</w:t>
      </w:r>
      <w:r>
        <w:rPr>
          <w:color w:val="231F20"/>
          <w:spacing w:val="-21"/>
        </w:rPr>
        <w:t> </w:t>
      </w:r>
      <w:r>
        <w:rPr>
          <w:color w:val="231F20"/>
        </w:rPr>
        <w:t>the</w:t>
      </w:r>
      <w:r>
        <w:rPr>
          <w:color w:val="231F20"/>
          <w:spacing w:val="-20"/>
        </w:rPr>
        <w:t> </w:t>
      </w:r>
      <w:r>
        <w:rPr>
          <w:color w:val="231F20"/>
        </w:rPr>
        <w:t>annual</w:t>
      </w:r>
      <w:r>
        <w:rPr>
          <w:color w:val="231F20"/>
          <w:spacing w:val="-21"/>
        </w:rPr>
        <w:t> </w:t>
      </w:r>
      <w:r>
        <w:rPr>
          <w:color w:val="231F20"/>
        </w:rPr>
        <w:t>June</w:t>
      </w:r>
      <w:r>
        <w:rPr>
          <w:color w:val="231F20"/>
          <w:spacing w:val="-21"/>
        </w:rPr>
        <w:t> </w:t>
      </w:r>
      <w:r>
        <w:rPr>
          <w:color w:val="231F20"/>
        </w:rPr>
        <w:t>meeting,</w:t>
      </w:r>
      <w:r>
        <w:rPr>
          <w:color w:val="231F20"/>
          <w:spacing w:val="-20"/>
        </w:rPr>
        <w:t> </w:t>
      </w:r>
      <w:r>
        <w:rPr>
          <w:color w:val="231F20"/>
        </w:rPr>
        <w:t>the</w:t>
      </w:r>
      <w:r>
        <w:rPr>
          <w:color w:val="231F20"/>
          <w:spacing w:val="-21"/>
        </w:rPr>
        <w:t> </w:t>
      </w:r>
      <w:r>
        <w:rPr>
          <w:color w:val="231F20"/>
        </w:rPr>
        <w:t>section’s</w:t>
      </w:r>
      <w:r>
        <w:rPr>
          <w:color w:val="231F20"/>
          <w:spacing w:val="-21"/>
        </w:rPr>
        <w:t> </w:t>
      </w:r>
      <w:r>
        <w:rPr>
          <w:color w:val="231F20"/>
        </w:rPr>
        <w:t>primary goals</w:t>
      </w:r>
      <w:r>
        <w:rPr>
          <w:color w:val="231F20"/>
          <w:spacing w:val="-9"/>
        </w:rPr>
        <w:t> </w:t>
      </w:r>
      <w:r>
        <w:rPr>
          <w:color w:val="231F20"/>
        </w:rPr>
        <w:t>continue</w:t>
      </w:r>
      <w:r>
        <w:rPr>
          <w:color w:val="231F20"/>
          <w:spacing w:val="-9"/>
        </w:rPr>
        <w:t> </w:t>
      </w:r>
      <w:r>
        <w:rPr>
          <w:color w:val="231F20"/>
        </w:rPr>
        <w:t>to</w:t>
      </w:r>
      <w:r>
        <w:rPr>
          <w:color w:val="231F20"/>
          <w:spacing w:val="-9"/>
        </w:rPr>
        <w:t> </w:t>
      </w:r>
      <w:r>
        <w:rPr>
          <w:color w:val="231F20"/>
        </w:rPr>
        <w:t>be</w:t>
      </w:r>
      <w:r>
        <w:rPr>
          <w:color w:val="231F20"/>
          <w:spacing w:val="-9"/>
        </w:rPr>
        <w:t> </w:t>
      </w:r>
      <w:r>
        <w:rPr>
          <w:color w:val="231F20"/>
        </w:rPr>
        <w:t>the</w:t>
      </w:r>
      <w:r>
        <w:rPr>
          <w:color w:val="231F20"/>
          <w:spacing w:val="-9"/>
        </w:rPr>
        <w:t> </w:t>
      </w:r>
      <w:r>
        <w:rPr>
          <w:color w:val="231F20"/>
        </w:rPr>
        <w:t>delivery</w:t>
      </w:r>
      <w:r>
        <w:rPr>
          <w:color w:val="231F20"/>
          <w:spacing w:val="-9"/>
        </w:rPr>
        <w:t> </w:t>
      </w:r>
      <w:r>
        <w:rPr>
          <w:color w:val="231F20"/>
        </w:rPr>
        <w:t>of</w:t>
      </w:r>
      <w:r>
        <w:rPr>
          <w:color w:val="231F20"/>
          <w:spacing w:val="-8"/>
        </w:rPr>
        <w:t> </w:t>
      </w:r>
      <w:r>
        <w:rPr>
          <w:color w:val="231F20"/>
        </w:rPr>
        <w:t>premier</w:t>
      </w:r>
      <w:r>
        <w:rPr>
          <w:color w:val="231F20"/>
          <w:spacing w:val="-9"/>
        </w:rPr>
        <w:t> </w:t>
      </w:r>
      <w:r>
        <w:rPr>
          <w:color w:val="231F20"/>
        </w:rPr>
        <w:t>CLE</w:t>
      </w:r>
      <w:r>
        <w:rPr>
          <w:color w:val="231F20"/>
          <w:spacing w:val="-9"/>
        </w:rPr>
        <w:t> </w:t>
      </w:r>
      <w:r>
        <w:rPr>
          <w:color w:val="231F20"/>
        </w:rPr>
        <w:t>and</w:t>
      </w:r>
      <w:r>
        <w:rPr>
          <w:color w:val="231F20"/>
          <w:spacing w:val="-9"/>
        </w:rPr>
        <w:t> </w:t>
      </w:r>
      <w:r>
        <w:rPr>
          <w:color w:val="231F20"/>
        </w:rPr>
        <w:t>educational</w:t>
      </w:r>
      <w:r>
        <w:rPr>
          <w:color w:val="231F20"/>
          <w:spacing w:val="-9"/>
        </w:rPr>
        <w:t> </w:t>
      </w:r>
      <w:r>
        <w:rPr>
          <w:color w:val="231F20"/>
        </w:rPr>
        <w:t>programs,</w:t>
      </w:r>
      <w:r>
        <w:rPr>
          <w:color w:val="231F20"/>
          <w:spacing w:val="-9"/>
        </w:rPr>
        <w:t> </w:t>
      </w:r>
      <w:r>
        <w:rPr>
          <w:color w:val="231F20"/>
        </w:rPr>
        <w:t>publi- cation</w:t>
      </w:r>
      <w:r>
        <w:rPr>
          <w:color w:val="231F20"/>
          <w:spacing w:val="-10"/>
        </w:rPr>
        <w:t> </w:t>
      </w:r>
      <w:r>
        <w:rPr>
          <w:color w:val="231F20"/>
        </w:rPr>
        <w:t>of</w:t>
      </w:r>
      <w:r>
        <w:rPr>
          <w:color w:val="231F20"/>
          <w:spacing w:val="-9"/>
        </w:rPr>
        <w:t> </w:t>
      </w:r>
      <w:r>
        <w:rPr>
          <w:color w:val="231F20"/>
        </w:rPr>
        <w:t>informative</w:t>
      </w:r>
      <w:r>
        <w:rPr>
          <w:color w:val="231F20"/>
          <w:spacing w:val="-10"/>
        </w:rPr>
        <w:t> </w:t>
      </w:r>
      <w:r>
        <w:rPr>
          <w:color w:val="231F20"/>
        </w:rPr>
        <w:t>legal</w:t>
      </w:r>
      <w:r>
        <w:rPr>
          <w:color w:val="231F20"/>
          <w:spacing w:val="-9"/>
        </w:rPr>
        <w:t> </w:t>
      </w:r>
      <w:r>
        <w:rPr>
          <w:color w:val="231F20"/>
        </w:rPr>
        <w:t>articles,</w:t>
      </w:r>
      <w:r>
        <w:rPr>
          <w:color w:val="231F20"/>
          <w:spacing w:val="-10"/>
        </w:rPr>
        <w:t> </w:t>
      </w:r>
      <w:r>
        <w:rPr>
          <w:color w:val="231F20"/>
        </w:rPr>
        <w:t>implementation</w:t>
      </w:r>
      <w:r>
        <w:rPr>
          <w:color w:val="231F20"/>
          <w:spacing w:val="-9"/>
        </w:rPr>
        <w:t> </w:t>
      </w:r>
      <w:r>
        <w:rPr>
          <w:color w:val="231F20"/>
        </w:rPr>
        <w:t>of</w:t>
      </w:r>
      <w:r>
        <w:rPr>
          <w:color w:val="231F20"/>
          <w:spacing w:val="-10"/>
        </w:rPr>
        <w:t> </w:t>
      </w:r>
      <w:r>
        <w:rPr>
          <w:color w:val="231F20"/>
        </w:rPr>
        <w:t>technological</w:t>
      </w:r>
      <w:r>
        <w:rPr>
          <w:color w:val="231F20"/>
          <w:spacing w:val="-9"/>
        </w:rPr>
        <w:t> </w:t>
      </w:r>
      <w:r>
        <w:rPr>
          <w:color w:val="231F20"/>
        </w:rPr>
        <w:t>changes</w:t>
      </w:r>
      <w:r>
        <w:rPr>
          <w:color w:val="231F20"/>
          <w:spacing w:val="-10"/>
        </w:rPr>
        <w:t> </w:t>
      </w:r>
      <w:r>
        <w:rPr>
          <w:color w:val="231F20"/>
        </w:rPr>
        <w:t>in</w:t>
      </w:r>
      <w:r>
        <w:rPr>
          <w:color w:val="231F20"/>
          <w:spacing w:val="-9"/>
        </w:rPr>
        <w:t> </w:t>
      </w:r>
      <w:r>
        <w:rPr>
          <w:color w:val="231F20"/>
        </w:rPr>
        <w:t>the means of delivery services, and the mentorship and development of its members to assume key section roles. We also strive to meet the ever-changing demands of our</w:t>
      </w:r>
      <w:r>
        <w:rPr>
          <w:color w:val="231F20"/>
          <w:spacing w:val="-3"/>
        </w:rPr>
        <w:t> </w:t>
      </w:r>
      <w:r>
        <w:rPr>
          <w:color w:val="231F20"/>
        </w:rPr>
        <w:t>section.</w:t>
      </w:r>
    </w:p>
    <w:p>
      <w:pPr>
        <w:pStyle w:val="BodyText"/>
        <w:ind w:left="385" w:right="867" w:firstLine="180"/>
        <w:jc w:val="both"/>
      </w:pPr>
      <w:r>
        <w:rPr>
          <w:color w:val="231F20"/>
        </w:rPr>
        <w:t>This</w:t>
      </w:r>
      <w:r>
        <w:rPr>
          <w:color w:val="231F20"/>
          <w:spacing w:val="-6"/>
        </w:rPr>
        <w:t> </w:t>
      </w:r>
      <w:r>
        <w:rPr>
          <w:color w:val="231F20"/>
        </w:rPr>
        <w:t>year</w:t>
      </w:r>
      <w:r>
        <w:rPr>
          <w:color w:val="231F20"/>
          <w:spacing w:val="-5"/>
        </w:rPr>
        <w:t> </w:t>
      </w:r>
      <w:r>
        <w:rPr>
          <w:color w:val="231F20"/>
        </w:rPr>
        <w:t>has</w:t>
      </w:r>
      <w:r>
        <w:rPr>
          <w:color w:val="231F20"/>
          <w:spacing w:val="-6"/>
        </w:rPr>
        <w:t> </w:t>
      </w:r>
      <w:r>
        <w:rPr>
          <w:color w:val="231F20"/>
        </w:rPr>
        <w:t>been</w:t>
      </w:r>
      <w:r>
        <w:rPr>
          <w:color w:val="231F20"/>
          <w:spacing w:val="-5"/>
        </w:rPr>
        <w:t> </w:t>
      </w:r>
      <w:r>
        <w:rPr>
          <w:color w:val="231F20"/>
        </w:rPr>
        <w:t>an</w:t>
      </w:r>
      <w:r>
        <w:rPr>
          <w:color w:val="231F20"/>
          <w:spacing w:val="-6"/>
        </w:rPr>
        <w:t> </w:t>
      </w:r>
      <w:r>
        <w:rPr>
          <w:color w:val="231F20"/>
        </w:rPr>
        <w:t>opportunity</w:t>
      </w:r>
      <w:r>
        <w:rPr>
          <w:color w:val="231F20"/>
          <w:spacing w:val="-5"/>
        </w:rPr>
        <w:t> </w:t>
      </w:r>
      <w:r>
        <w:rPr>
          <w:color w:val="231F20"/>
        </w:rPr>
        <w:t>to</w:t>
      </w:r>
      <w:r>
        <w:rPr>
          <w:color w:val="231F20"/>
          <w:spacing w:val="-5"/>
        </w:rPr>
        <w:t> </w:t>
      </w:r>
      <w:r>
        <w:rPr>
          <w:color w:val="231F20"/>
        </w:rPr>
        <w:t>showcase</w:t>
      </w:r>
      <w:r>
        <w:rPr>
          <w:color w:val="231F20"/>
          <w:spacing w:val="-6"/>
        </w:rPr>
        <w:t> </w:t>
      </w:r>
      <w:r>
        <w:rPr>
          <w:color w:val="231F20"/>
        </w:rPr>
        <w:t>the</w:t>
      </w:r>
      <w:r>
        <w:rPr>
          <w:color w:val="231F20"/>
          <w:spacing w:val="-5"/>
        </w:rPr>
        <w:t> </w:t>
      </w:r>
      <w:r>
        <w:rPr>
          <w:color w:val="231F20"/>
        </w:rPr>
        <w:t>section’s</w:t>
      </w:r>
      <w:r>
        <w:rPr>
          <w:color w:val="231F20"/>
          <w:spacing w:val="-6"/>
        </w:rPr>
        <w:t> </w:t>
      </w:r>
      <w:r>
        <w:rPr>
          <w:color w:val="231F20"/>
        </w:rPr>
        <w:t>exemplary</w:t>
      </w:r>
      <w:r>
        <w:rPr>
          <w:color w:val="231F20"/>
          <w:spacing w:val="-5"/>
        </w:rPr>
        <w:t> </w:t>
      </w:r>
      <w:r>
        <w:rPr>
          <w:color w:val="231F20"/>
        </w:rPr>
        <w:t>service to the </w:t>
      </w:r>
      <w:r>
        <w:rPr>
          <w:color w:val="231F20"/>
          <w:spacing w:val="-3"/>
        </w:rPr>
        <w:t>Bar, </w:t>
      </w:r>
      <w:r>
        <w:rPr>
          <w:color w:val="231F20"/>
        </w:rPr>
        <w:t>its membership, the </w:t>
      </w:r>
      <w:r>
        <w:rPr>
          <w:color w:val="231F20"/>
          <w:spacing w:val="-3"/>
        </w:rPr>
        <w:t>judiciary, </w:t>
      </w:r>
      <w:r>
        <w:rPr>
          <w:color w:val="231F20"/>
        </w:rPr>
        <w:t>and the public. </w:t>
      </w:r>
      <w:r>
        <w:rPr>
          <w:color w:val="231F20"/>
          <w:spacing w:val="-12"/>
        </w:rPr>
        <w:t>To </w:t>
      </w:r>
      <w:r>
        <w:rPr>
          <w:color w:val="231F20"/>
        </w:rPr>
        <w:t>accommodate the in- creasingly</w:t>
      </w:r>
      <w:r>
        <w:rPr>
          <w:color w:val="231F20"/>
          <w:spacing w:val="-5"/>
        </w:rPr>
        <w:t> </w:t>
      </w:r>
      <w:r>
        <w:rPr>
          <w:color w:val="231F20"/>
        </w:rPr>
        <w:t>busy</w:t>
      </w:r>
      <w:r>
        <w:rPr>
          <w:color w:val="231F20"/>
          <w:spacing w:val="-4"/>
        </w:rPr>
        <w:t> </w:t>
      </w:r>
      <w:r>
        <w:rPr>
          <w:color w:val="231F20"/>
        </w:rPr>
        <w:t>practitioner,</w:t>
      </w:r>
      <w:r>
        <w:rPr>
          <w:color w:val="231F20"/>
          <w:spacing w:val="-4"/>
        </w:rPr>
        <w:t> </w:t>
      </w:r>
      <w:r>
        <w:rPr>
          <w:color w:val="231F20"/>
        </w:rPr>
        <w:t>we</w:t>
      </w:r>
      <w:r>
        <w:rPr>
          <w:color w:val="231F20"/>
          <w:spacing w:val="-4"/>
        </w:rPr>
        <w:t> </w:t>
      </w:r>
      <w:r>
        <w:rPr>
          <w:color w:val="231F20"/>
        </w:rPr>
        <w:t>are</w:t>
      </w:r>
      <w:r>
        <w:rPr>
          <w:color w:val="231F20"/>
          <w:spacing w:val="-4"/>
        </w:rPr>
        <w:t> </w:t>
      </w:r>
      <w:r>
        <w:rPr>
          <w:color w:val="231F20"/>
        </w:rPr>
        <w:t>offering</w:t>
      </w:r>
      <w:r>
        <w:rPr>
          <w:color w:val="231F20"/>
          <w:spacing w:val="-4"/>
        </w:rPr>
        <w:t> </w:t>
      </w:r>
      <w:r>
        <w:rPr>
          <w:color w:val="231F20"/>
        </w:rPr>
        <w:t>a</w:t>
      </w:r>
      <w:r>
        <w:rPr>
          <w:color w:val="231F20"/>
          <w:spacing w:val="-4"/>
        </w:rPr>
        <w:t> </w:t>
      </w:r>
      <w:r>
        <w:rPr>
          <w:color w:val="231F20"/>
        </w:rPr>
        <w:t>record</w:t>
      </w:r>
      <w:r>
        <w:rPr>
          <w:color w:val="231F20"/>
          <w:spacing w:val="-4"/>
        </w:rPr>
        <w:t> </w:t>
      </w:r>
      <w:r>
        <w:rPr>
          <w:color w:val="231F20"/>
        </w:rPr>
        <w:t>number</w:t>
      </w:r>
      <w:r>
        <w:rPr>
          <w:color w:val="231F20"/>
          <w:spacing w:val="-4"/>
        </w:rPr>
        <w:t> </w:t>
      </w:r>
      <w:r>
        <w:rPr>
          <w:color w:val="231F20"/>
        </w:rPr>
        <w:t>of</w:t>
      </w:r>
      <w:r>
        <w:rPr>
          <w:color w:val="231F20"/>
          <w:spacing w:val="-4"/>
        </w:rPr>
        <w:t> </w:t>
      </w:r>
      <w:r>
        <w:rPr>
          <w:color w:val="231F20"/>
        </w:rPr>
        <w:t>webinars,</w:t>
      </w:r>
      <w:r>
        <w:rPr>
          <w:color w:val="231F20"/>
          <w:spacing w:val="-4"/>
        </w:rPr>
        <w:t> </w:t>
      </w:r>
      <w:r>
        <w:rPr>
          <w:color w:val="231F20"/>
        </w:rPr>
        <w:t>as</w:t>
      </w:r>
      <w:r>
        <w:rPr>
          <w:color w:val="231F20"/>
          <w:spacing w:val="-4"/>
        </w:rPr>
        <w:t> </w:t>
      </w:r>
      <w:r>
        <w:rPr>
          <w:color w:val="231F20"/>
        </w:rPr>
        <w:t>well as regular CLEs, for our section. We collaborated with other sections to bring in- novative</w:t>
      </w:r>
      <w:r>
        <w:rPr>
          <w:color w:val="231F20"/>
          <w:spacing w:val="-7"/>
        </w:rPr>
        <w:t> </w:t>
      </w:r>
      <w:r>
        <w:rPr>
          <w:color w:val="231F20"/>
        </w:rPr>
        <w:t>and</w:t>
      </w:r>
      <w:r>
        <w:rPr>
          <w:color w:val="231F20"/>
          <w:spacing w:val="-7"/>
        </w:rPr>
        <w:t> </w:t>
      </w:r>
      <w:r>
        <w:rPr>
          <w:color w:val="231F20"/>
        </w:rPr>
        <w:t>thoughtful</w:t>
      </w:r>
      <w:r>
        <w:rPr>
          <w:color w:val="231F20"/>
          <w:spacing w:val="-7"/>
        </w:rPr>
        <w:t> </w:t>
      </w:r>
      <w:r>
        <w:rPr>
          <w:color w:val="231F20"/>
        </w:rPr>
        <w:t>topics,</w:t>
      </w:r>
      <w:r>
        <w:rPr>
          <w:color w:val="231F20"/>
          <w:spacing w:val="-7"/>
        </w:rPr>
        <w:t> </w:t>
      </w:r>
      <w:r>
        <w:rPr>
          <w:color w:val="231F20"/>
        </w:rPr>
        <w:t>including</w:t>
      </w:r>
      <w:r>
        <w:rPr>
          <w:color w:val="231F20"/>
          <w:spacing w:val="-7"/>
        </w:rPr>
        <w:t> </w:t>
      </w:r>
      <w:r>
        <w:rPr>
          <w:color w:val="231F20"/>
        </w:rPr>
        <w:t>a</w:t>
      </w:r>
      <w:r>
        <w:rPr>
          <w:color w:val="231F20"/>
          <w:spacing w:val="-7"/>
        </w:rPr>
        <w:t> </w:t>
      </w:r>
      <w:r>
        <w:rPr>
          <w:color w:val="231F20"/>
        </w:rPr>
        <w:t>tax</w:t>
      </w:r>
      <w:r>
        <w:rPr>
          <w:color w:val="231F20"/>
          <w:spacing w:val="-6"/>
        </w:rPr>
        <w:t> </w:t>
      </w:r>
      <w:r>
        <w:rPr>
          <w:color w:val="231F20"/>
        </w:rPr>
        <w:t>and</w:t>
      </w:r>
      <w:r>
        <w:rPr>
          <w:color w:val="231F20"/>
          <w:spacing w:val="-7"/>
        </w:rPr>
        <w:t> </w:t>
      </w:r>
      <w:r>
        <w:rPr>
          <w:color w:val="231F20"/>
        </w:rPr>
        <w:t>severance</w:t>
      </w:r>
      <w:r>
        <w:rPr>
          <w:color w:val="231F20"/>
          <w:spacing w:val="-7"/>
        </w:rPr>
        <w:t> </w:t>
      </w:r>
      <w:r>
        <w:rPr>
          <w:color w:val="231F20"/>
        </w:rPr>
        <w:t>agreement</w:t>
      </w:r>
      <w:r>
        <w:rPr>
          <w:color w:val="231F20"/>
          <w:spacing w:val="-7"/>
        </w:rPr>
        <w:t> </w:t>
      </w:r>
      <w:r>
        <w:rPr>
          <w:color w:val="231F20"/>
          <w:spacing w:val="-3"/>
        </w:rPr>
        <w:t>webinar. </w:t>
      </w:r>
      <w:r>
        <w:rPr>
          <w:color w:val="231F20"/>
        </w:rPr>
        <w:t>We</w:t>
      </w:r>
      <w:r>
        <w:rPr>
          <w:color w:val="231F20"/>
          <w:spacing w:val="-17"/>
        </w:rPr>
        <w:t> </w:t>
      </w:r>
      <w:r>
        <w:rPr>
          <w:color w:val="231F20"/>
        </w:rPr>
        <w:t>held</w:t>
      </w:r>
      <w:r>
        <w:rPr>
          <w:color w:val="231F20"/>
          <w:spacing w:val="-17"/>
        </w:rPr>
        <w:t> </w:t>
      </w:r>
      <w:r>
        <w:rPr>
          <w:color w:val="231F20"/>
        </w:rPr>
        <w:t>our</w:t>
      </w:r>
      <w:r>
        <w:rPr>
          <w:color w:val="231F20"/>
          <w:spacing w:val="-17"/>
        </w:rPr>
        <w:t> </w:t>
      </w:r>
      <w:r>
        <w:rPr>
          <w:color w:val="231F20"/>
        </w:rPr>
        <w:t>litigation</w:t>
      </w:r>
      <w:r>
        <w:rPr>
          <w:color w:val="231F20"/>
          <w:spacing w:val="-16"/>
        </w:rPr>
        <w:t> </w:t>
      </w:r>
      <w:r>
        <w:rPr>
          <w:color w:val="231F20"/>
        </w:rPr>
        <w:t>seminar</w:t>
      </w:r>
      <w:r>
        <w:rPr>
          <w:color w:val="231F20"/>
          <w:spacing w:val="-16"/>
        </w:rPr>
        <w:t> </w:t>
      </w:r>
      <w:r>
        <w:rPr>
          <w:color w:val="231F20"/>
        </w:rPr>
        <w:t>at</w:t>
      </w:r>
      <w:r>
        <w:rPr>
          <w:color w:val="231F20"/>
          <w:spacing w:val="-17"/>
        </w:rPr>
        <w:t> </w:t>
      </w:r>
      <w:r>
        <w:rPr>
          <w:color w:val="231F20"/>
        </w:rPr>
        <w:t>the</w:t>
      </w:r>
      <w:r>
        <w:rPr>
          <w:color w:val="231F20"/>
          <w:spacing w:val="-16"/>
        </w:rPr>
        <w:t> </w:t>
      </w:r>
      <w:r>
        <w:rPr>
          <w:color w:val="231F20"/>
        </w:rPr>
        <w:t>Breakers</w:t>
      </w:r>
      <w:r>
        <w:rPr>
          <w:color w:val="231F20"/>
          <w:spacing w:val="-16"/>
        </w:rPr>
        <w:t> </w:t>
      </w:r>
      <w:r>
        <w:rPr>
          <w:color w:val="231F20"/>
        </w:rPr>
        <w:t>in</w:t>
      </w:r>
      <w:r>
        <w:rPr>
          <w:color w:val="231F20"/>
          <w:spacing w:val="-16"/>
        </w:rPr>
        <w:t> </w:t>
      </w:r>
      <w:r>
        <w:rPr>
          <w:color w:val="231F20"/>
        </w:rPr>
        <w:t>September</w:t>
      </w:r>
      <w:r>
        <w:rPr>
          <w:color w:val="231F20"/>
          <w:spacing w:val="-16"/>
        </w:rPr>
        <w:t> </w:t>
      </w:r>
      <w:r>
        <w:rPr>
          <w:color w:val="231F20"/>
        </w:rPr>
        <w:t>in</w:t>
      </w:r>
      <w:r>
        <w:rPr>
          <w:color w:val="231F20"/>
          <w:spacing w:val="-17"/>
        </w:rPr>
        <w:t> </w:t>
      </w:r>
      <w:r>
        <w:rPr>
          <w:color w:val="231F20"/>
        </w:rPr>
        <w:t>Palm</w:t>
      </w:r>
      <w:r>
        <w:rPr>
          <w:color w:val="231F20"/>
          <w:spacing w:val="-16"/>
        </w:rPr>
        <w:t> </w:t>
      </w:r>
      <w:r>
        <w:rPr>
          <w:color w:val="231F20"/>
        </w:rPr>
        <w:t>Beach</w:t>
      </w:r>
      <w:r>
        <w:rPr>
          <w:color w:val="231F20"/>
          <w:spacing w:val="-15"/>
        </w:rPr>
        <w:t> </w:t>
      </w:r>
      <w:r>
        <w:rPr>
          <w:color w:val="231F20"/>
        </w:rPr>
        <w:t>and</w:t>
      </w:r>
      <w:r>
        <w:rPr>
          <w:color w:val="231F20"/>
          <w:spacing w:val="-17"/>
        </w:rPr>
        <w:t> </w:t>
      </w:r>
      <w:r>
        <w:rPr>
          <w:color w:val="231F20"/>
        </w:rPr>
        <w:t>our Annual</w:t>
      </w:r>
      <w:r>
        <w:rPr>
          <w:color w:val="231F20"/>
          <w:spacing w:val="-20"/>
        </w:rPr>
        <w:t> </w:t>
      </w:r>
      <w:r>
        <w:rPr>
          <w:color w:val="231F20"/>
        </w:rPr>
        <w:t>Update</w:t>
      </w:r>
      <w:r>
        <w:rPr>
          <w:color w:val="231F20"/>
          <w:spacing w:val="-19"/>
        </w:rPr>
        <w:t> </w:t>
      </w:r>
      <w:r>
        <w:rPr>
          <w:color w:val="231F20"/>
        </w:rPr>
        <w:t>and</w:t>
      </w:r>
      <w:r>
        <w:rPr>
          <w:color w:val="231F20"/>
          <w:spacing w:val="-20"/>
        </w:rPr>
        <w:t> </w:t>
      </w:r>
      <w:r>
        <w:rPr>
          <w:color w:val="231F20"/>
        </w:rPr>
        <w:t>Board</w:t>
      </w:r>
      <w:r>
        <w:rPr>
          <w:color w:val="231F20"/>
          <w:spacing w:val="-19"/>
        </w:rPr>
        <w:t> </w:t>
      </w:r>
      <w:r>
        <w:rPr>
          <w:color w:val="231F20"/>
        </w:rPr>
        <w:t>Certification</w:t>
      </w:r>
      <w:r>
        <w:rPr>
          <w:color w:val="231F20"/>
          <w:spacing w:val="-19"/>
        </w:rPr>
        <w:t> </w:t>
      </w:r>
      <w:r>
        <w:rPr>
          <w:color w:val="231F20"/>
        </w:rPr>
        <w:t>Review</w:t>
      </w:r>
      <w:r>
        <w:rPr>
          <w:color w:val="231F20"/>
          <w:spacing w:val="-20"/>
        </w:rPr>
        <w:t> </w:t>
      </w:r>
      <w:r>
        <w:rPr>
          <w:color w:val="231F20"/>
        </w:rPr>
        <w:t>in</w:t>
      </w:r>
      <w:r>
        <w:rPr>
          <w:color w:val="231F20"/>
          <w:spacing w:val="-19"/>
        </w:rPr>
        <w:t> </w:t>
      </w:r>
      <w:r>
        <w:rPr>
          <w:color w:val="231F20"/>
        </w:rPr>
        <w:t>January</w:t>
      </w:r>
      <w:r>
        <w:rPr>
          <w:color w:val="231F20"/>
          <w:spacing w:val="-19"/>
        </w:rPr>
        <w:t> </w:t>
      </w:r>
      <w:r>
        <w:rPr>
          <w:color w:val="231F20"/>
        </w:rPr>
        <w:t>in</w:t>
      </w:r>
      <w:r>
        <w:rPr>
          <w:color w:val="231F20"/>
          <w:spacing w:val="-20"/>
        </w:rPr>
        <w:t> </w:t>
      </w:r>
      <w:r>
        <w:rPr>
          <w:color w:val="231F20"/>
        </w:rPr>
        <w:t>Orlando.</w:t>
      </w:r>
      <w:r>
        <w:rPr>
          <w:color w:val="231F20"/>
          <w:spacing w:val="-19"/>
        </w:rPr>
        <w:t> </w:t>
      </w:r>
      <w:r>
        <w:rPr>
          <w:color w:val="231F20"/>
        </w:rPr>
        <w:t>We</w:t>
      </w:r>
      <w:r>
        <w:rPr>
          <w:color w:val="231F20"/>
          <w:spacing w:val="-19"/>
        </w:rPr>
        <w:t> </w:t>
      </w:r>
      <w:r>
        <w:rPr>
          <w:color w:val="231F20"/>
        </w:rPr>
        <w:t>are</w:t>
      </w:r>
      <w:r>
        <w:rPr>
          <w:color w:val="231F20"/>
          <w:spacing w:val="-20"/>
        </w:rPr>
        <w:t> </w:t>
      </w:r>
      <w:r>
        <w:rPr>
          <w:color w:val="231F20"/>
        </w:rPr>
        <w:t>gear- ing</w:t>
      </w:r>
      <w:r>
        <w:rPr>
          <w:color w:val="231F20"/>
          <w:spacing w:val="-4"/>
        </w:rPr>
        <w:t> </w:t>
      </w:r>
      <w:r>
        <w:rPr>
          <w:color w:val="231F20"/>
        </w:rPr>
        <w:t>up</w:t>
      </w:r>
      <w:r>
        <w:rPr>
          <w:color w:val="231F20"/>
          <w:spacing w:val="-3"/>
        </w:rPr>
        <w:t> </w:t>
      </w:r>
      <w:r>
        <w:rPr>
          <w:color w:val="231F20"/>
        </w:rPr>
        <w:t>for</w:t>
      </w:r>
      <w:r>
        <w:rPr>
          <w:color w:val="231F20"/>
          <w:spacing w:val="-15"/>
        </w:rPr>
        <w:t> </w:t>
      </w:r>
      <w:r>
        <w:rPr>
          <w:color w:val="231F20"/>
        </w:rPr>
        <w:t>Advanced</w:t>
      </w:r>
      <w:r>
        <w:rPr>
          <w:color w:val="231F20"/>
          <w:spacing w:val="-3"/>
        </w:rPr>
        <w:t> </w:t>
      </w:r>
      <w:r>
        <w:rPr>
          <w:color w:val="231F20"/>
        </w:rPr>
        <w:t>Labor</w:t>
      </w:r>
      <w:r>
        <w:rPr>
          <w:color w:val="231F20"/>
          <w:spacing w:val="-6"/>
        </w:rPr>
        <w:t> </w:t>
      </w:r>
      <w:r>
        <w:rPr>
          <w:color w:val="231F20"/>
          <w:spacing w:val="-5"/>
        </w:rPr>
        <w:t>Topics</w:t>
      </w:r>
      <w:r>
        <w:rPr>
          <w:color w:val="231F20"/>
          <w:spacing w:val="-4"/>
        </w:rPr>
        <w:t> </w:t>
      </w:r>
      <w:r>
        <w:rPr>
          <w:color w:val="231F20"/>
        </w:rPr>
        <w:t>2019</w:t>
      </w:r>
      <w:r>
        <w:rPr>
          <w:color w:val="231F20"/>
          <w:spacing w:val="-3"/>
        </w:rPr>
        <w:t> </w:t>
      </w:r>
      <w:r>
        <w:rPr>
          <w:color w:val="231F20"/>
        </w:rPr>
        <w:t>which</w:t>
      </w:r>
      <w:r>
        <w:rPr>
          <w:color w:val="231F20"/>
          <w:spacing w:val="-4"/>
        </w:rPr>
        <w:t> </w:t>
      </w:r>
      <w:r>
        <w:rPr>
          <w:color w:val="231F20"/>
        </w:rPr>
        <w:t>will</w:t>
      </w:r>
      <w:r>
        <w:rPr>
          <w:color w:val="231F20"/>
          <w:spacing w:val="-3"/>
        </w:rPr>
        <w:t> </w:t>
      </w:r>
      <w:r>
        <w:rPr>
          <w:color w:val="231F20"/>
        </w:rPr>
        <w:t>be</w:t>
      </w:r>
      <w:r>
        <w:rPr>
          <w:color w:val="231F20"/>
          <w:spacing w:val="-4"/>
        </w:rPr>
        <w:t> </w:t>
      </w:r>
      <w:r>
        <w:rPr>
          <w:color w:val="231F20"/>
        </w:rPr>
        <w:t>held</w:t>
      </w:r>
      <w:r>
        <w:rPr>
          <w:color w:val="231F20"/>
          <w:spacing w:val="-3"/>
        </w:rPr>
        <w:t> </w:t>
      </w:r>
      <w:r>
        <w:rPr>
          <w:color w:val="231F20"/>
        </w:rPr>
        <w:t>at</w:t>
      </w:r>
      <w:r>
        <w:rPr>
          <w:color w:val="231F20"/>
          <w:spacing w:val="-3"/>
        </w:rPr>
        <w:t> </w:t>
      </w:r>
      <w:r>
        <w:rPr>
          <w:color w:val="231F20"/>
        </w:rPr>
        <w:t>the</w:t>
      </w:r>
      <w:r>
        <w:rPr>
          <w:color w:val="231F20"/>
          <w:spacing w:val="-4"/>
        </w:rPr>
        <w:t> </w:t>
      </w:r>
      <w:r>
        <w:rPr>
          <w:color w:val="231F20"/>
        </w:rPr>
        <w:t>Wyndham</w:t>
      </w:r>
      <w:r>
        <w:rPr>
          <w:color w:val="231F20"/>
          <w:spacing w:val="-3"/>
        </w:rPr>
        <w:t> </w:t>
      </w:r>
      <w:r>
        <w:rPr>
          <w:color w:val="231F20"/>
        </w:rPr>
        <w:t>Grand in Jupiter at Harbourside Place on April 12-13, 2019. This year we will add a day to the meeting for a section leadership retreat to focus on section goals,</w:t>
      </w:r>
      <w:r>
        <w:rPr>
          <w:color w:val="231F20"/>
          <w:spacing w:val="37"/>
        </w:rPr>
        <w:t> </w:t>
      </w:r>
      <w:r>
        <w:rPr>
          <w:color w:val="231F20"/>
        </w:rPr>
        <w:t>revenue</w:t>
      </w:r>
    </w:p>
    <w:p>
      <w:pPr>
        <w:spacing w:after="0"/>
        <w:jc w:val="both"/>
        <w:sectPr>
          <w:headerReference w:type="default" r:id="rId7"/>
          <w:pgSz w:w="12240" w:h="15840"/>
          <w:pgMar w:header="0" w:footer="0" w:top="1120" w:bottom="280" w:left="720" w:right="540"/>
          <w:cols w:num="2" w:equalWidth="0">
            <w:col w:w="2514" w:space="40"/>
            <w:col w:w="8426"/>
          </w:cols>
        </w:sectPr>
      </w:pPr>
    </w:p>
    <w:p>
      <w:pPr>
        <w:pStyle w:val="BodyText"/>
        <w:spacing w:before="1"/>
        <w:ind w:left="689" w:right="868"/>
        <w:jc w:val="both"/>
      </w:pPr>
      <w:r>
        <w:rPr>
          <w:color w:val="231F20"/>
        </w:rPr>
        <w:t>and cost challenges, and to make sure we are on track to meet the needs of our diverse membership. Our section is made up of small and large firms, public and private attorneys and those representing both the employer</w:t>
      </w:r>
      <w:r>
        <w:rPr>
          <w:color w:val="231F20"/>
          <w:spacing w:val="-9"/>
        </w:rPr>
        <w:t> </w:t>
      </w:r>
      <w:r>
        <w:rPr>
          <w:color w:val="231F20"/>
        </w:rPr>
        <w:t>and</w:t>
      </w:r>
      <w:r>
        <w:rPr>
          <w:color w:val="231F20"/>
          <w:spacing w:val="-9"/>
        </w:rPr>
        <w:t> </w:t>
      </w:r>
      <w:r>
        <w:rPr>
          <w:color w:val="231F20"/>
        </w:rPr>
        <w:t>employees.</w:t>
      </w:r>
      <w:r>
        <w:rPr>
          <w:color w:val="231F20"/>
          <w:spacing w:val="-9"/>
        </w:rPr>
        <w:t> </w:t>
      </w:r>
      <w:r>
        <w:rPr>
          <w:color w:val="231F20"/>
        </w:rPr>
        <w:t>Our</w:t>
      </w:r>
      <w:r>
        <w:rPr>
          <w:color w:val="231F20"/>
          <w:spacing w:val="-8"/>
        </w:rPr>
        <w:t> </w:t>
      </w:r>
      <w:r>
        <w:rPr>
          <w:color w:val="231F20"/>
        </w:rPr>
        <w:t>CLEs</w:t>
      </w:r>
      <w:r>
        <w:rPr>
          <w:color w:val="231F20"/>
          <w:spacing w:val="-9"/>
        </w:rPr>
        <w:t> </w:t>
      </w:r>
      <w:r>
        <w:rPr>
          <w:color w:val="231F20"/>
        </w:rPr>
        <w:t>have</w:t>
      </w:r>
      <w:r>
        <w:rPr>
          <w:color w:val="231F20"/>
          <w:spacing w:val="-9"/>
        </w:rPr>
        <w:t> </w:t>
      </w:r>
      <w:r>
        <w:rPr>
          <w:color w:val="231F20"/>
        </w:rPr>
        <w:t>something</w:t>
      </w:r>
      <w:r>
        <w:rPr>
          <w:color w:val="231F20"/>
          <w:spacing w:val="-8"/>
        </w:rPr>
        <w:t> </w:t>
      </w:r>
      <w:r>
        <w:rPr>
          <w:color w:val="231F20"/>
        </w:rPr>
        <w:t>for</w:t>
      </w:r>
      <w:r>
        <w:rPr>
          <w:color w:val="231F20"/>
          <w:spacing w:val="-9"/>
        </w:rPr>
        <w:t> </w:t>
      </w:r>
      <w:r>
        <w:rPr>
          <w:color w:val="231F20"/>
        </w:rPr>
        <w:t>every</w:t>
      </w:r>
      <w:r>
        <w:rPr>
          <w:color w:val="231F20"/>
          <w:spacing w:val="-9"/>
        </w:rPr>
        <w:t> </w:t>
      </w:r>
      <w:r>
        <w:rPr>
          <w:color w:val="231F20"/>
        </w:rPr>
        <w:t>practitioner,</w:t>
      </w:r>
      <w:r>
        <w:rPr>
          <w:color w:val="231F20"/>
          <w:spacing w:val="-8"/>
        </w:rPr>
        <w:t> </w:t>
      </w:r>
      <w:r>
        <w:rPr>
          <w:color w:val="231F20"/>
        </w:rPr>
        <w:t>in</w:t>
      </w:r>
      <w:r>
        <w:rPr>
          <w:color w:val="231F20"/>
          <w:spacing w:val="-9"/>
        </w:rPr>
        <w:t> </w:t>
      </w:r>
      <w:r>
        <w:rPr>
          <w:color w:val="231F20"/>
        </w:rPr>
        <w:t>large</w:t>
      </w:r>
      <w:r>
        <w:rPr>
          <w:color w:val="231F20"/>
          <w:spacing w:val="-9"/>
        </w:rPr>
        <w:t> </w:t>
      </w:r>
      <w:r>
        <w:rPr>
          <w:color w:val="231F20"/>
        </w:rPr>
        <w:t>part</w:t>
      </w:r>
      <w:r>
        <w:rPr>
          <w:color w:val="231F20"/>
          <w:spacing w:val="-8"/>
        </w:rPr>
        <w:t> </w:t>
      </w:r>
      <w:r>
        <w:rPr>
          <w:color w:val="231F20"/>
        </w:rPr>
        <w:t>due</w:t>
      </w:r>
      <w:r>
        <w:rPr>
          <w:color w:val="231F20"/>
          <w:spacing w:val="-9"/>
        </w:rPr>
        <w:t> </w:t>
      </w:r>
      <w:r>
        <w:rPr>
          <w:color w:val="231F20"/>
        </w:rPr>
        <w:t>to</w:t>
      </w:r>
      <w:r>
        <w:rPr>
          <w:color w:val="231F20"/>
          <w:spacing w:val="-9"/>
        </w:rPr>
        <w:t> </w:t>
      </w:r>
      <w:r>
        <w:rPr>
          <w:color w:val="231F20"/>
        </w:rPr>
        <w:t>the</w:t>
      </w:r>
      <w:r>
        <w:rPr>
          <w:color w:val="231F20"/>
          <w:spacing w:val="-8"/>
        </w:rPr>
        <w:t> </w:t>
      </w:r>
      <w:r>
        <w:rPr>
          <w:color w:val="231F20"/>
        </w:rPr>
        <w:t>efforts</w:t>
      </w:r>
      <w:r>
        <w:rPr>
          <w:color w:val="231F20"/>
          <w:spacing w:val="-9"/>
        </w:rPr>
        <w:t> </w:t>
      </w:r>
      <w:r>
        <w:rPr>
          <w:color w:val="231F20"/>
        </w:rPr>
        <w:t>of Robyn Hankins, our legal education</w:t>
      </w:r>
      <w:r>
        <w:rPr>
          <w:color w:val="231F20"/>
          <w:spacing w:val="-7"/>
        </w:rPr>
        <w:t> </w:t>
      </w:r>
      <w:r>
        <w:rPr>
          <w:color w:val="231F20"/>
          <w:spacing w:val="-2"/>
        </w:rPr>
        <w:t>director.</w:t>
      </w:r>
    </w:p>
    <w:p>
      <w:pPr>
        <w:pStyle w:val="BodyText"/>
        <w:ind w:left="869"/>
        <w:jc w:val="both"/>
      </w:pPr>
      <w:r>
        <w:rPr>
          <w:color w:val="231F20"/>
        </w:rPr>
        <w:t>Our section is proud to be invited to present at the AJS judicial conference this May. Fourth DCA Judge</w:t>
      </w:r>
    </w:p>
    <w:p>
      <w:pPr>
        <w:pStyle w:val="BodyText"/>
        <w:ind w:left="869" w:right="1784" w:hanging="180"/>
        <w:jc w:val="both"/>
      </w:pPr>
      <w:r>
        <w:rPr>
          <w:color w:val="231F20"/>
        </w:rPr>
        <w:t>Forst, Judge Sasser of the 15th Judicial Circuit, and I will be presenting on restrictive covenants. We are updating our website and are excited to announce that our new site will be up soon.</w:t>
      </w:r>
    </w:p>
    <w:p>
      <w:pPr>
        <w:pStyle w:val="BodyText"/>
        <w:ind w:left="689" w:right="867" w:firstLine="180"/>
        <w:jc w:val="right"/>
      </w:pPr>
      <w:r>
        <w:rPr>
          <w:color w:val="231F20"/>
        </w:rPr>
        <w:t>Through</w:t>
      </w:r>
      <w:r>
        <w:rPr>
          <w:color w:val="231F20"/>
          <w:spacing w:val="24"/>
        </w:rPr>
        <w:t> </w:t>
      </w:r>
      <w:r>
        <w:rPr>
          <w:color w:val="231F20"/>
        </w:rPr>
        <w:t>its</w:t>
      </w:r>
      <w:r>
        <w:rPr>
          <w:color w:val="231F20"/>
          <w:spacing w:val="23"/>
        </w:rPr>
        <w:t> </w:t>
      </w:r>
      <w:r>
        <w:rPr>
          <w:color w:val="231F20"/>
        </w:rPr>
        <w:t>various</w:t>
      </w:r>
      <w:r>
        <w:rPr>
          <w:color w:val="231F20"/>
          <w:spacing w:val="25"/>
        </w:rPr>
        <w:t> </w:t>
      </w:r>
      <w:r>
        <w:rPr>
          <w:color w:val="231F20"/>
        </w:rPr>
        <w:t>committees</w:t>
      </w:r>
      <w:r>
        <w:rPr>
          <w:color w:val="231F20"/>
          <w:spacing w:val="24"/>
        </w:rPr>
        <w:t> </w:t>
      </w:r>
      <w:r>
        <w:rPr>
          <w:color w:val="231F20"/>
        </w:rPr>
        <w:t>and</w:t>
      </w:r>
      <w:r>
        <w:rPr>
          <w:color w:val="231F20"/>
          <w:spacing w:val="25"/>
        </w:rPr>
        <w:t> </w:t>
      </w:r>
      <w:r>
        <w:rPr>
          <w:color w:val="231F20"/>
        </w:rPr>
        <w:t>subcommittees,</w:t>
      </w:r>
      <w:r>
        <w:rPr>
          <w:color w:val="231F20"/>
          <w:spacing w:val="24"/>
        </w:rPr>
        <w:t> </w:t>
      </w:r>
      <w:r>
        <w:rPr>
          <w:color w:val="231F20"/>
        </w:rPr>
        <w:t>the</w:t>
      </w:r>
      <w:r>
        <w:rPr>
          <w:color w:val="231F20"/>
          <w:spacing w:val="25"/>
        </w:rPr>
        <w:t> </w:t>
      </w:r>
      <w:r>
        <w:rPr>
          <w:color w:val="231F20"/>
        </w:rPr>
        <w:t>Section</w:t>
      </w:r>
      <w:r>
        <w:rPr>
          <w:color w:val="231F20"/>
          <w:spacing w:val="24"/>
        </w:rPr>
        <w:t> </w:t>
      </w:r>
      <w:r>
        <w:rPr>
          <w:color w:val="231F20"/>
        </w:rPr>
        <w:t>has</w:t>
      </w:r>
      <w:r>
        <w:rPr>
          <w:color w:val="231F20"/>
          <w:spacing w:val="25"/>
        </w:rPr>
        <w:t> </w:t>
      </w:r>
      <w:r>
        <w:rPr>
          <w:color w:val="231F20"/>
        </w:rPr>
        <w:t>continued</w:t>
      </w:r>
      <w:r>
        <w:rPr>
          <w:color w:val="231F20"/>
          <w:spacing w:val="24"/>
        </w:rPr>
        <w:t> </w:t>
      </w:r>
      <w:r>
        <w:rPr>
          <w:color w:val="231F20"/>
        </w:rPr>
        <w:t>its</w:t>
      </w:r>
      <w:r>
        <w:rPr>
          <w:color w:val="231F20"/>
          <w:spacing w:val="24"/>
        </w:rPr>
        <w:t> </w:t>
      </w:r>
      <w:r>
        <w:rPr>
          <w:color w:val="231F20"/>
        </w:rPr>
        <w:t>outreach</w:t>
      </w:r>
      <w:r>
        <w:rPr>
          <w:color w:val="231F20"/>
          <w:spacing w:val="24"/>
        </w:rPr>
        <w:t> </w:t>
      </w:r>
      <w:r>
        <w:rPr>
          <w:color w:val="231F20"/>
        </w:rPr>
        <w:t>efforts</w:t>
      </w:r>
      <w:r>
        <w:rPr>
          <w:color w:val="231F20"/>
          <w:spacing w:val="25"/>
        </w:rPr>
        <w:t> </w:t>
      </w:r>
      <w:r>
        <w:rPr>
          <w:color w:val="231F20"/>
        </w:rPr>
        <w:t>to maintain</w:t>
      </w:r>
      <w:r>
        <w:rPr>
          <w:color w:val="231F20"/>
          <w:spacing w:val="8"/>
        </w:rPr>
        <w:t> </w:t>
      </w:r>
      <w:r>
        <w:rPr>
          <w:color w:val="231F20"/>
        </w:rPr>
        <w:t>links</w:t>
      </w:r>
      <w:r>
        <w:rPr>
          <w:color w:val="231F20"/>
          <w:spacing w:val="8"/>
        </w:rPr>
        <w:t> </w:t>
      </w:r>
      <w:r>
        <w:rPr>
          <w:color w:val="231F20"/>
        </w:rPr>
        <w:t>with</w:t>
      </w:r>
      <w:r>
        <w:rPr>
          <w:color w:val="231F20"/>
          <w:spacing w:val="9"/>
        </w:rPr>
        <w:t> </w:t>
      </w:r>
      <w:r>
        <w:rPr>
          <w:color w:val="231F20"/>
        </w:rPr>
        <w:t>the</w:t>
      </w:r>
      <w:r>
        <w:rPr>
          <w:color w:val="231F20"/>
          <w:spacing w:val="8"/>
        </w:rPr>
        <w:t> </w:t>
      </w:r>
      <w:r>
        <w:rPr>
          <w:color w:val="231F20"/>
          <w:spacing w:val="-3"/>
        </w:rPr>
        <w:t>Bar,</w:t>
      </w:r>
      <w:r>
        <w:rPr>
          <w:color w:val="231F20"/>
          <w:spacing w:val="9"/>
        </w:rPr>
        <w:t> </w:t>
      </w:r>
      <w:r>
        <w:rPr>
          <w:color w:val="231F20"/>
        </w:rPr>
        <w:t>the</w:t>
      </w:r>
      <w:r>
        <w:rPr>
          <w:color w:val="231F20"/>
          <w:spacing w:val="8"/>
        </w:rPr>
        <w:t> </w:t>
      </w:r>
      <w:r>
        <w:rPr>
          <w:color w:val="231F20"/>
        </w:rPr>
        <w:t>National</w:t>
      </w:r>
      <w:r>
        <w:rPr>
          <w:color w:val="231F20"/>
          <w:spacing w:val="9"/>
        </w:rPr>
        <w:t> </w:t>
      </w:r>
      <w:r>
        <w:rPr>
          <w:color w:val="231F20"/>
        </w:rPr>
        <w:t>Labor</w:t>
      </w:r>
      <w:r>
        <w:rPr>
          <w:color w:val="231F20"/>
          <w:spacing w:val="8"/>
        </w:rPr>
        <w:t> </w:t>
      </w:r>
      <w:r>
        <w:rPr>
          <w:color w:val="231F20"/>
        </w:rPr>
        <w:t>Relations</w:t>
      </w:r>
      <w:r>
        <w:rPr>
          <w:color w:val="231F20"/>
          <w:spacing w:val="8"/>
        </w:rPr>
        <w:t> </w:t>
      </w:r>
      <w:r>
        <w:rPr>
          <w:color w:val="231F20"/>
        </w:rPr>
        <w:t>Board,</w:t>
      </w:r>
      <w:r>
        <w:rPr>
          <w:color w:val="231F20"/>
          <w:spacing w:val="9"/>
        </w:rPr>
        <w:t> </w:t>
      </w:r>
      <w:r>
        <w:rPr>
          <w:color w:val="231F20"/>
        </w:rPr>
        <w:t>national</w:t>
      </w:r>
      <w:r>
        <w:rPr>
          <w:color w:val="231F20"/>
          <w:spacing w:val="8"/>
        </w:rPr>
        <w:t> </w:t>
      </w:r>
      <w:r>
        <w:rPr>
          <w:color w:val="231F20"/>
        </w:rPr>
        <w:t>and</w:t>
      </w:r>
      <w:r>
        <w:rPr>
          <w:color w:val="231F20"/>
          <w:spacing w:val="9"/>
        </w:rPr>
        <w:t> </w:t>
      </w:r>
      <w:r>
        <w:rPr>
          <w:color w:val="231F20"/>
        </w:rPr>
        <w:t>voluntary</w:t>
      </w:r>
      <w:r>
        <w:rPr>
          <w:color w:val="231F20"/>
          <w:spacing w:val="8"/>
        </w:rPr>
        <w:t> </w:t>
      </w:r>
      <w:r>
        <w:rPr>
          <w:color w:val="231F20"/>
        </w:rPr>
        <w:t>bar</w:t>
      </w:r>
      <w:r>
        <w:rPr>
          <w:color w:val="231F20"/>
          <w:spacing w:val="9"/>
        </w:rPr>
        <w:t> </w:t>
      </w:r>
      <w:r>
        <w:rPr>
          <w:color w:val="231F20"/>
        </w:rPr>
        <w:t>organizations,</w:t>
      </w:r>
      <w:r>
        <w:rPr>
          <w:color w:val="231F20"/>
          <w:spacing w:val="-1"/>
        </w:rPr>
        <w:t> </w:t>
      </w:r>
      <w:r>
        <w:rPr>
          <w:color w:val="231F20"/>
        </w:rPr>
        <w:t>regulatory</w:t>
      </w:r>
      <w:r>
        <w:rPr>
          <w:color w:val="231F20"/>
          <w:spacing w:val="-13"/>
        </w:rPr>
        <w:t> </w:t>
      </w:r>
      <w:r>
        <w:rPr>
          <w:color w:val="231F20"/>
        </w:rPr>
        <w:t>agencies,</w:t>
      </w:r>
      <w:r>
        <w:rPr>
          <w:color w:val="231F20"/>
          <w:spacing w:val="-13"/>
        </w:rPr>
        <w:t> </w:t>
      </w:r>
      <w:r>
        <w:rPr>
          <w:color w:val="231F20"/>
        </w:rPr>
        <w:t>the</w:t>
      </w:r>
      <w:r>
        <w:rPr>
          <w:color w:val="231F20"/>
          <w:spacing w:val="-12"/>
        </w:rPr>
        <w:t> </w:t>
      </w:r>
      <w:r>
        <w:rPr>
          <w:color w:val="231F20"/>
          <w:spacing w:val="-3"/>
        </w:rPr>
        <w:t>judiciary,</w:t>
      </w:r>
      <w:r>
        <w:rPr>
          <w:color w:val="231F20"/>
          <w:spacing w:val="-13"/>
        </w:rPr>
        <w:t> </w:t>
      </w:r>
      <w:r>
        <w:rPr>
          <w:color w:val="231F20"/>
        </w:rPr>
        <w:t>and</w:t>
      </w:r>
      <w:r>
        <w:rPr>
          <w:color w:val="231F20"/>
          <w:spacing w:val="-13"/>
        </w:rPr>
        <w:t> </w:t>
      </w:r>
      <w:r>
        <w:rPr>
          <w:color w:val="231F20"/>
        </w:rPr>
        <w:t>law</w:t>
      </w:r>
      <w:r>
        <w:rPr>
          <w:color w:val="231F20"/>
          <w:spacing w:val="-12"/>
        </w:rPr>
        <w:t> </w:t>
      </w:r>
      <w:r>
        <w:rPr>
          <w:color w:val="231F20"/>
        </w:rPr>
        <w:t>schools.</w:t>
      </w:r>
      <w:r>
        <w:rPr>
          <w:color w:val="231F20"/>
          <w:spacing w:val="-13"/>
        </w:rPr>
        <w:t> </w:t>
      </w:r>
      <w:r>
        <w:rPr>
          <w:color w:val="231F20"/>
        </w:rPr>
        <w:t>Section</w:t>
      </w:r>
      <w:r>
        <w:rPr>
          <w:color w:val="231F20"/>
          <w:spacing w:val="-13"/>
        </w:rPr>
        <w:t> </w:t>
      </w:r>
      <w:r>
        <w:rPr>
          <w:color w:val="231F20"/>
        </w:rPr>
        <w:t>member</w:t>
      </w:r>
      <w:r>
        <w:rPr>
          <w:color w:val="231F20"/>
          <w:spacing w:val="-12"/>
        </w:rPr>
        <w:t> </w:t>
      </w:r>
      <w:r>
        <w:rPr>
          <w:color w:val="231F20"/>
        </w:rPr>
        <w:t>Christina</w:t>
      </w:r>
      <w:r>
        <w:rPr>
          <w:color w:val="231F20"/>
          <w:spacing w:val="-13"/>
        </w:rPr>
        <w:t> </w:t>
      </w:r>
      <w:r>
        <w:rPr>
          <w:color w:val="231F20"/>
          <w:spacing w:val="-3"/>
        </w:rPr>
        <w:t>Velez</w:t>
      </w:r>
      <w:r>
        <w:rPr>
          <w:color w:val="231F20"/>
          <w:spacing w:val="-13"/>
        </w:rPr>
        <w:t> </w:t>
      </w:r>
      <w:r>
        <w:rPr>
          <w:color w:val="231F20"/>
        </w:rPr>
        <w:t>organized</w:t>
      </w:r>
      <w:r>
        <w:rPr>
          <w:color w:val="231F20"/>
          <w:spacing w:val="-12"/>
        </w:rPr>
        <w:t> </w:t>
      </w:r>
      <w:r>
        <w:rPr>
          <w:color w:val="231F20"/>
        </w:rPr>
        <w:t>a</w:t>
      </w:r>
      <w:r>
        <w:rPr>
          <w:color w:val="231F20"/>
          <w:spacing w:val="-13"/>
        </w:rPr>
        <w:t> </w:t>
      </w:r>
      <w:r>
        <w:rPr>
          <w:color w:val="231F20"/>
        </w:rPr>
        <w:t>law</w:t>
      </w:r>
      <w:r>
        <w:rPr>
          <w:color w:val="231F20"/>
          <w:spacing w:val="-12"/>
        </w:rPr>
        <w:t> </w:t>
      </w:r>
      <w:r>
        <w:rPr>
          <w:color w:val="231F20"/>
        </w:rPr>
        <w:t>student outreach</w:t>
      </w:r>
      <w:r>
        <w:rPr>
          <w:color w:val="231F20"/>
          <w:spacing w:val="-13"/>
        </w:rPr>
        <w:t> </w:t>
      </w:r>
      <w:r>
        <w:rPr>
          <w:color w:val="231F20"/>
        </w:rPr>
        <w:t>at</w:t>
      </w:r>
      <w:r>
        <w:rPr>
          <w:color w:val="231F20"/>
          <w:spacing w:val="-12"/>
        </w:rPr>
        <w:t> </w:t>
      </w:r>
      <w:r>
        <w:rPr>
          <w:color w:val="231F20"/>
        </w:rPr>
        <w:t>Florida</w:t>
      </w:r>
      <w:r>
        <w:rPr>
          <w:color w:val="231F20"/>
          <w:spacing w:val="-22"/>
        </w:rPr>
        <w:t> </w:t>
      </w:r>
      <w:r>
        <w:rPr>
          <w:color w:val="231F20"/>
        </w:rPr>
        <w:t>A&amp;M</w:t>
      </w:r>
      <w:r>
        <w:rPr>
          <w:color w:val="231F20"/>
          <w:spacing w:val="-13"/>
        </w:rPr>
        <w:t> </w:t>
      </w:r>
      <w:r>
        <w:rPr>
          <w:color w:val="231F20"/>
          <w:spacing w:val="-3"/>
        </w:rPr>
        <w:t>University.</w:t>
      </w:r>
      <w:r>
        <w:rPr>
          <w:color w:val="231F20"/>
          <w:spacing w:val="-12"/>
        </w:rPr>
        <w:t> </w:t>
      </w:r>
      <w:r>
        <w:rPr>
          <w:color w:val="231F20"/>
        </w:rPr>
        <w:t>We</w:t>
      </w:r>
      <w:r>
        <w:rPr>
          <w:color w:val="231F20"/>
          <w:spacing w:val="-12"/>
        </w:rPr>
        <w:t> </w:t>
      </w:r>
      <w:r>
        <w:rPr>
          <w:color w:val="231F20"/>
        </w:rPr>
        <w:t>are</w:t>
      </w:r>
      <w:r>
        <w:rPr>
          <w:color w:val="231F20"/>
          <w:spacing w:val="-12"/>
        </w:rPr>
        <w:t> </w:t>
      </w:r>
      <w:r>
        <w:rPr>
          <w:color w:val="231F20"/>
        </w:rPr>
        <w:t>also</w:t>
      </w:r>
      <w:r>
        <w:rPr>
          <w:color w:val="231F20"/>
          <w:spacing w:val="-13"/>
        </w:rPr>
        <w:t> </w:t>
      </w:r>
      <w:r>
        <w:rPr>
          <w:color w:val="231F20"/>
        </w:rPr>
        <w:t>finalizing</w:t>
      </w:r>
      <w:r>
        <w:rPr>
          <w:color w:val="231F20"/>
          <w:spacing w:val="-11"/>
        </w:rPr>
        <w:t> </w:t>
      </w:r>
      <w:r>
        <w:rPr>
          <w:color w:val="231F20"/>
        </w:rPr>
        <w:t>our</w:t>
      </w:r>
      <w:r>
        <w:rPr>
          <w:color w:val="231F20"/>
          <w:spacing w:val="-12"/>
        </w:rPr>
        <w:t> </w:t>
      </w:r>
      <w:r>
        <w:rPr>
          <w:color w:val="231F20"/>
        </w:rPr>
        <w:t>scholarship</w:t>
      </w:r>
      <w:r>
        <w:rPr>
          <w:color w:val="231F20"/>
          <w:spacing w:val="-12"/>
        </w:rPr>
        <w:t> </w:t>
      </w:r>
      <w:r>
        <w:rPr>
          <w:color w:val="231F20"/>
        </w:rPr>
        <w:t>awards</w:t>
      </w:r>
      <w:r>
        <w:rPr>
          <w:color w:val="231F20"/>
          <w:spacing w:val="-12"/>
        </w:rPr>
        <w:t> </w:t>
      </w:r>
      <w:r>
        <w:rPr>
          <w:color w:val="231F20"/>
        </w:rPr>
        <w:t>for</w:t>
      </w:r>
      <w:r>
        <w:rPr>
          <w:color w:val="231F20"/>
          <w:spacing w:val="-13"/>
        </w:rPr>
        <w:t> </w:t>
      </w:r>
      <w:r>
        <w:rPr>
          <w:color w:val="231F20"/>
        </w:rPr>
        <w:t>the</w:t>
      </w:r>
      <w:r>
        <w:rPr>
          <w:color w:val="231F20"/>
          <w:spacing w:val="-12"/>
        </w:rPr>
        <w:t> </w:t>
      </w:r>
      <w:r>
        <w:rPr>
          <w:color w:val="231F20"/>
        </w:rPr>
        <w:t>state’s</w:t>
      </w:r>
      <w:r>
        <w:rPr>
          <w:color w:val="231F20"/>
          <w:spacing w:val="-12"/>
        </w:rPr>
        <w:t> </w:t>
      </w:r>
      <w:r>
        <w:rPr>
          <w:color w:val="231F20"/>
        </w:rPr>
        <w:t>law</w:t>
      </w:r>
      <w:r>
        <w:rPr>
          <w:color w:val="231F20"/>
          <w:spacing w:val="-12"/>
        </w:rPr>
        <w:t> </w:t>
      </w:r>
      <w:r>
        <w:rPr>
          <w:color w:val="231F20"/>
        </w:rPr>
        <w:t>schools.</w:t>
      </w:r>
    </w:p>
    <w:p>
      <w:pPr>
        <w:pStyle w:val="BodyText"/>
        <w:ind w:left="689" w:right="585" w:firstLine="180"/>
      </w:pPr>
      <w:r>
        <w:rPr>
          <w:color w:val="231F20"/>
        </w:rPr>
        <w:t>Sadly, we have had to say goodbye to a number of our section’s greatest members, many of whom are being nominated for our Hall of Fame.</w:t>
      </w:r>
    </w:p>
    <w:p>
      <w:pPr>
        <w:pStyle w:val="BodyText"/>
        <w:ind w:left="869"/>
      </w:pPr>
      <w:r>
        <w:rPr>
          <w:color w:val="231F20"/>
        </w:rPr>
        <w:t>On behalf of all of our officers and the section’s Executive Council, thank you for being a part of the Labor</w:t>
      </w:r>
    </w:p>
    <w:p>
      <w:pPr>
        <w:pStyle w:val="BodyText"/>
        <w:spacing w:line="480" w:lineRule="auto"/>
        <w:ind w:left="689" w:right="7769"/>
      </w:pPr>
      <w:bookmarkStart w:name="_bookmark1" w:id="2"/>
      <w:bookmarkEnd w:id="2"/>
      <w:r>
        <w:rPr/>
      </w:r>
      <w:r>
        <w:rPr>
          <w:color w:val="231F20"/>
        </w:rPr>
        <w:t>&amp; Employment Law Section. Cathleen Scott, Chair</w:t>
      </w:r>
    </w:p>
    <w:p>
      <w:pPr>
        <w:pStyle w:val="BodyText"/>
      </w:pPr>
    </w:p>
    <w:p>
      <w:pPr>
        <w:tabs>
          <w:tab w:pos="3182" w:val="left" w:leader="none"/>
          <w:tab w:pos="5895" w:val="left" w:leader="none"/>
        </w:tabs>
        <w:spacing w:before="236"/>
        <w:ind w:left="613" w:right="0" w:firstLine="0"/>
        <w:jc w:val="center"/>
        <w:rPr>
          <w:rFonts w:ascii="Cambria"/>
          <w:sz w:val="56"/>
        </w:rPr>
      </w:pPr>
      <w:r>
        <w:rPr>
          <w:rFonts w:ascii="Cambria"/>
          <w:color w:val="FFF200"/>
          <w:spacing w:val="51"/>
          <w:sz w:val="56"/>
        </w:rPr>
        <w:t>Section</w:t>
        <w:tab/>
      </w:r>
      <w:r>
        <w:rPr>
          <w:rFonts w:ascii="Cambria"/>
          <w:color w:val="FFF200"/>
          <w:spacing w:val="49"/>
          <w:sz w:val="56"/>
        </w:rPr>
        <w:t>Bulletin</w:t>
        <w:tab/>
      </w:r>
      <w:r>
        <w:rPr>
          <w:rFonts w:ascii="Cambria"/>
          <w:color w:val="FFF200"/>
          <w:spacing w:val="43"/>
          <w:sz w:val="56"/>
        </w:rPr>
        <w:t>Board</w:t>
      </w:r>
    </w:p>
    <w:p>
      <w:pPr>
        <w:spacing w:after="0"/>
        <w:jc w:val="center"/>
        <w:rPr>
          <w:rFonts w:ascii="Cambria"/>
          <w:sz w:val="56"/>
        </w:rPr>
        <w:sectPr>
          <w:type w:val="continuous"/>
          <w:pgSz w:w="12240" w:h="15840"/>
          <w:pgMar w:top="500" w:bottom="280" w:left="720" w:right="540"/>
        </w:sectPr>
      </w:pPr>
    </w:p>
    <w:p>
      <w:pPr>
        <w:spacing w:line="225" w:lineRule="exact" w:before="174"/>
        <w:ind w:left="703" w:right="0" w:firstLine="0"/>
        <w:jc w:val="center"/>
        <w:rPr>
          <w:b/>
          <w:sz w:val="20"/>
        </w:rPr>
      </w:pPr>
      <w:r>
        <w:rPr/>
        <w:pict>
          <v:rect style="position:absolute;margin-left:.5pt;margin-top:.5pt;width:611pt;height:791pt;mso-position-horizontal-relative:page;mso-position-vertical-relative:page;z-index:-253184000" filled="true" fillcolor="#c7d9f0" stroked="false">
            <v:fill type="solid"/>
            <w10:wrap type="none"/>
          </v:rect>
        </w:pict>
      </w:r>
      <w:r>
        <w:rPr/>
        <w:pict>
          <v:group style="position:absolute;margin-left:0pt;margin-top:0pt;width:612pt;height:792pt;mso-position-horizontal-relative:page;mso-position-vertical-relative:page;z-index:-253182976" coordorigin="0,0" coordsize="12240,15840">
            <v:rect style="position:absolute;left:10;top:10;width:12220;height:15820" filled="false" stroked="true" strokeweight="1pt" strokecolor="#231f20">
              <v:stroke dashstyle="solid"/>
            </v:rect>
            <v:rect style="position:absolute;left:900;top:1020;width:10440;height:8784" filled="true" fillcolor="#ffffff" stroked="false">
              <v:fill type="solid"/>
            </v:rect>
            <v:rect style="position:absolute;left:900;top:1020;width:10440;height:8784" filled="false" stroked="true" strokeweight="6pt" strokecolor="#0076bf">
              <v:stroke dashstyle="solid"/>
            </v:rect>
            <v:shape style="position:absolute;left:1420;top:2033;width:2010;height:3065" type="#_x0000_t75" stroked="false">
              <v:imagedata r:id="rId8" o:title=""/>
            </v:shape>
            <v:rect style="position:absolute;left:1420;top:2033;width:2010;height:3064" filled="false" stroked="true" strokeweight="1pt" strokecolor="#231f20">
              <v:stroke dashstyle="solid"/>
            </v:rect>
            <v:rect style="position:absolute;left:840;top:10315;width:10560;height:4445" filled="true" fillcolor="#34479c" stroked="false">
              <v:fill type="solid"/>
            </v:rect>
            <v:rect style="position:absolute;left:1110;top:10908;width:10020;height:3528" filled="true" fillcolor="#ffffff" stroked="false">
              <v:fill type="solid"/>
            </v:rect>
            <v:shape style="position:absolute;left:799;top:10013;width:1197;height:1221" type="#_x0000_t75" stroked="false">
              <v:imagedata r:id="rId9" o:title=""/>
            </v:shape>
            <v:line style="position:absolute" from="6120,11140" to="6120,14286" stroked="true" strokeweight="1pt" strokecolor="#231f20">
              <v:stroke dashstyle="solid"/>
            </v:line>
            <w10:wrap type="none"/>
          </v:group>
        </w:pict>
      </w:r>
      <w:hyperlink w:history="true" w:anchor="_bookmark3">
        <w:r>
          <w:rPr>
            <w:b/>
            <w:color w:val="00AEEF"/>
            <w:sz w:val="20"/>
          </w:rPr>
          <w:t>Advanced Labor Topics 2019 (2888)</w:t>
        </w:r>
      </w:hyperlink>
    </w:p>
    <w:p>
      <w:pPr>
        <w:spacing w:line="199" w:lineRule="exact" w:before="0"/>
        <w:ind w:left="723" w:right="0" w:firstLine="0"/>
        <w:jc w:val="center"/>
        <w:rPr>
          <w:sz w:val="18"/>
        </w:rPr>
      </w:pPr>
      <w:hyperlink w:history="true" w:anchor="_bookmark3">
        <w:r>
          <w:rPr>
            <w:color w:val="231F20"/>
            <w:sz w:val="18"/>
          </w:rPr>
          <w:t>April 12-13, 2019</w:t>
        </w:r>
      </w:hyperlink>
    </w:p>
    <w:p>
      <w:pPr>
        <w:spacing w:line="204" w:lineRule="exact" w:before="0"/>
        <w:ind w:left="723" w:right="0" w:firstLine="0"/>
        <w:jc w:val="center"/>
        <w:rPr>
          <w:sz w:val="18"/>
        </w:rPr>
      </w:pPr>
      <w:hyperlink w:history="true" w:anchor="_bookmark3">
        <w:r>
          <w:rPr>
            <w:color w:val="231F20"/>
            <w:sz w:val="18"/>
          </w:rPr>
          <w:t>Wyndham Grand Jupiter at Harbourside Place,</w:t>
        </w:r>
        <w:r>
          <w:rPr>
            <w:color w:val="231F20"/>
            <w:spacing w:val="-14"/>
            <w:sz w:val="18"/>
          </w:rPr>
          <w:t> </w:t>
        </w:r>
        <w:r>
          <w:rPr>
            <w:color w:val="231F20"/>
            <w:sz w:val="18"/>
          </w:rPr>
          <w:t>Jupiter</w:t>
        </w:r>
      </w:hyperlink>
    </w:p>
    <w:p>
      <w:pPr>
        <w:spacing w:line="237" w:lineRule="auto" w:before="75"/>
        <w:ind w:left="1415" w:right="710" w:firstLine="20"/>
        <w:jc w:val="center"/>
        <w:rPr>
          <w:sz w:val="16"/>
        </w:rPr>
      </w:pPr>
      <w:hyperlink w:history="true" w:anchor="_bookmark3">
        <w:r>
          <w:rPr>
            <w:b/>
            <w:color w:val="231F20"/>
            <w:sz w:val="16"/>
          </w:rPr>
          <w:t>Labor and Employment Law Section Executive Council Meeting (all invited) </w:t>
        </w:r>
        <w:r>
          <w:rPr>
            <w:color w:val="231F20"/>
            <w:sz w:val="16"/>
          </w:rPr>
          <w:t>Friday, April 12</w:t>
        </w:r>
      </w:hyperlink>
    </w:p>
    <w:p>
      <w:pPr>
        <w:spacing w:line="180" w:lineRule="exact" w:before="0"/>
        <w:ind w:left="723" w:right="0" w:firstLine="0"/>
        <w:jc w:val="center"/>
        <w:rPr>
          <w:sz w:val="16"/>
        </w:rPr>
      </w:pPr>
      <w:hyperlink w:history="true" w:anchor="_bookmark3">
        <w:r>
          <w:rPr>
            <w:color w:val="231F20"/>
            <w:sz w:val="16"/>
          </w:rPr>
          <w:t>5:00 p.m. – 6:00 p.m.</w:t>
        </w:r>
      </w:hyperlink>
    </w:p>
    <w:p>
      <w:pPr>
        <w:spacing w:line="182" w:lineRule="exact" w:before="47"/>
        <w:ind w:left="723" w:right="0" w:firstLine="0"/>
        <w:jc w:val="center"/>
        <w:rPr>
          <w:b/>
          <w:sz w:val="16"/>
        </w:rPr>
      </w:pPr>
      <w:hyperlink w:history="true" w:anchor="_bookmark3">
        <w:r>
          <w:rPr>
            <w:b/>
            <w:color w:val="231F20"/>
            <w:sz w:val="16"/>
          </w:rPr>
          <w:t>Reception with jazz band (included in registration fee)</w:t>
        </w:r>
      </w:hyperlink>
    </w:p>
    <w:p>
      <w:pPr>
        <w:spacing w:line="182" w:lineRule="exact" w:before="0"/>
        <w:ind w:left="723" w:right="0" w:firstLine="0"/>
        <w:jc w:val="center"/>
        <w:rPr>
          <w:sz w:val="16"/>
        </w:rPr>
      </w:pPr>
      <w:hyperlink w:history="true" w:anchor="_bookmark3">
        <w:r>
          <w:rPr>
            <w:color w:val="231F20"/>
            <w:sz w:val="16"/>
          </w:rPr>
          <w:t>6:00 p.m. – 6:30 p.m.</w:t>
        </w:r>
      </w:hyperlink>
    </w:p>
    <w:p>
      <w:pPr>
        <w:spacing w:line="182" w:lineRule="exact" w:before="56"/>
        <w:ind w:left="723" w:right="0" w:firstLine="0"/>
        <w:jc w:val="center"/>
        <w:rPr>
          <w:b/>
          <w:sz w:val="16"/>
        </w:rPr>
      </w:pPr>
      <w:hyperlink w:history="true" w:anchor="_bookmark3">
        <w:r>
          <w:rPr>
            <w:b/>
            <w:color w:val="231F20"/>
            <w:sz w:val="16"/>
          </w:rPr>
          <w:t>Dinner with jazz band (included in registration fee)</w:t>
        </w:r>
      </w:hyperlink>
    </w:p>
    <w:p>
      <w:pPr>
        <w:spacing w:line="182" w:lineRule="exact" w:before="0"/>
        <w:ind w:left="723" w:right="0" w:firstLine="0"/>
        <w:jc w:val="center"/>
        <w:rPr>
          <w:sz w:val="16"/>
        </w:rPr>
      </w:pPr>
      <w:hyperlink w:history="true" w:anchor="_bookmark3">
        <w:r>
          <w:rPr>
            <w:color w:val="231F20"/>
            <w:sz w:val="16"/>
          </w:rPr>
          <w:t>6:30 p.m. – 8:30 p.m.</w:t>
        </w:r>
      </w:hyperlink>
    </w:p>
    <w:p>
      <w:pPr>
        <w:spacing w:line="228" w:lineRule="auto" w:before="128"/>
        <w:ind w:left="1251" w:right="546" w:firstLine="0"/>
        <w:jc w:val="center"/>
        <w:rPr>
          <w:b/>
          <w:sz w:val="18"/>
        </w:rPr>
      </w:pPr>
      <w:hyperlink w:history="true" w:anchor="_bookmark6">
        <w:r>
          <w:rPr>
            <w:b/>
            <w:color w:val="00AEEF"/>
            <w:sz w:val="20"/>
          </w:rPr>
          <w:t>Update on Gender Discrimination: The New Gender Equality (2883) </w:t>
        </w:r>
        <w:r>
          <w:rPr>
            <w:b/>
            <w:color w:val="231F20"/>
            <w:sz w:val="18"/>
          </w:rPr>
          <w:t>AUDIO WEBCAST</w:t>
        </w:r>
      </w:hyperlink>
    </w:p>
    <w:p>
      <w:pPr>
        <w:spacing w:line="203" w:lineRule="exact" w:before="0"/>
        <w:ind w:left="702" w:right="0" w:firstLine="0"/>
        <w:jc w:val="center"/>
        <w:rPr>
          <w:sz w:val="18"/>
        </w:rPr>
      </w:pPr>
      <w:r>
        <w:rPr/>
        <w:pict>
          <v:shape style="position:absolute;margin-left:303.220001pt;margin-top:48.050781pt;width:5.6pt;height:11.9pt;mso-position-horizontal-relative:page;mso-position-vertical-relative:paragraph;z-index:-253185024" type="#_x0000_t202" filled="false" stroked="false">
            <v:textbox inset="0,0,0,0">
              <w:txbxContent>
                <w:p>
                  <w:pPr>
                    <w:spacing w:before="5"/>
                    <w:ind w:left="0" w:right="0" w:firstLine="0"/>
                    <w:jc w:val="left"/>
                    <w:rPr>
                      <w:b/>
                      <w:sz w:val="20"/>
                    </w:rPr>
                  </w:pPr>
                  <w:r>
                    <w:rPr>
                      <w:b/>
                      <w:color w:val="231F20"/>
                      <w:w w:val="99"/>
                      <w:sz w:val="20"/>
                    </w:rPr>
                    <w:t>2</w:t>
                  </w:r>
                </w:p>
              </w:txbxContent>
            </v:textbox>
            <w10:wrap type="none"/>
          </v:shape>
        </w:pict>
      </w:r>
      <w:hyperlink w:history="true" w:anchor="_bookmark6">
        <w:r>
          <w:rPr>
            <w:color w:val="231F20"/>
            <w:sz w:val="18"/>
          </w:rPr>
          <w:t>June 5, 2019 • 12:00 noon – 12:50 p.m.</w:t>
        </w:r>
      </w:hyperlink>
    </w:p>
    <w:p>
      <w:pPr>
        <w:spacing w:before="174"/>
        <w:ind w:left="516" w:right="726" w:firstLine="0"/>
        <w:jc w:val="center"/>
        <w:rPr>
          <w:b/>
          <w:sz w:val="20"/>
        </w:rPr>
      </w:pPr>
      <w:r>
        <w:rPr/>
        <w:br w:type="column"/>
      </w:r>
      <w:r>
        <w:rPr>
          <w:b/>
          <w:color w:val="00AEEF"/>
          <w:sz w:val="20"/>
        </w:rPr>
        <w:t>The Annual Florida Bar Convention</w:t>
      </w:r>
    </w:p>
    <w:p>
      <w:pPr>
        <w:spacing w:before="13"/>
        <w:ind w:left="516" w:right="726" w:firstLine="0"/>
        <w:jc w:val="center"/>
        <w:rPr>
          <w:sz w:val="18"/>
        </w:rPr>
      </w:pPr>
      <w:r>
        <w:rPr>
          <w:color w:val="231F20"/>
          <w:sz w:val="18"/>
        </w:rPr>
        <w:t>June 26-29, 2019</w:t>
      </w:r>
    </w:p>
    <w:p>
      <w:pPr>
        <w:spacing w:before="17"/>
        <w:ind w:left="516" w:right="726" w:firstLine="0"/>
        <w:jc w:val="center"/>
        <w:rPr>
          <w:sz w:val="18"/>
        </w:rPr>
      </w:pPr>
      <w:r>
        <w:rPr>
          <w:color w:val="231F20"/>
          <w:sz w:val="18"/>
        </w:rPr>
        <w:t>Boca Raton Resort &amp; Club</w:t>
      </w:r>
    </w:p>
    <w:p>
      <w:pPr>
        <w:spacing w:line="266" w:lineRule="auto" w:before="96"/>
        <w:ind w:left="1472" w:right="1682" w:firstLine="0"/>
        <w:jc w:val="center"/>
        <w:rPr>
          <w:sz w:val="16"/>
        </w:rPr>
      </w:pPr>
      <w:r>
        <w:rPr>
          <w:b/>
          <w:color w:val="231F20"/>
          <w:sz w:val="16"/>
        </w:rPr>
        <w:t>Labor and Employment Law</w:t>
      </w:r>
      <w:r>
        <w:rPr>
          <w:b/>
          <w:color w:val="231F20"/>
          <w:spacing w:val="-16"/>
          <w:sz w:val="16"/>
        </w:rPr>
        <w:t> </w:t>
      </w:r>
      <w:r>
        <w:rPr>
          <w:b/>
          <w:color w:val="231F20"/>
          <w:sz w:val="16"/>
        </w:rPr>
        <w:t>Section Executive Council Meeting </w:t>
      </w:r>
      <w:r>
        <w:rPr>
          <w:color w:val="231F20"/>
          <w:sz w:val="16"/>
        </w:rPr>
        <w:t>Thursday, June 27,</w:t>
      </w:r>
      <w:r>
        <w:rPr>
          <w:color w:val="231F20"/>
          <w:spacing w:val="-5"/>
          <w:sz w:val="16"/>
        </w:rPr>
        <w:t> </w:t>
      </w:r>
      <w:r>
        <w:rPr>
          <w:color w:val="231F20"/>
          <w:sz w:val="16"/>
        </w:rPr>
        <w:t>2019</w:t>
      </w:r>
    </w:p>
    <w:p>
      <w:pPr>
        <w:spacing w:before="0"/>
        <w:ind w:left="516" w:right="726" w:firstLine="0"/>
        <w:jc w:val="center"/>
        <w:rPr>
          <w:sz w:val="16"/>
        </w:rPr>
      </w:pPr>
      <w:r>
        <w:rPr>
          <w:color w:val="231F20"/>
          <w:sz w:val="16"/>
        </w:rPr>
        <w:t>5:00 p.m. – 6:30 p.m.</w:t>
      </w:r>
    </w:p>
    <w:p>
      <w:pPr>
        <w:spacing w:before="100"/>
        <w:ind w:left="516" w:right="726" w:firstLine="0"/>
        <w:jc w:val="center"/>
        <w:rPr>
          <w:b/>
          <w:sz w:val="16"/>
        </w:rPr>
      </w:pPr>
      <w:r>
        <w:rPr>
          <w:b/>
          <w:color w:val="231F20"/>
          <w:sz w:val="16"/>
        </w:rPr>
        <w:t>Reception</w:t>
      </w:r>
    </w:p>
    <w:p>
      <w:pPr>
        <w:spacing w:before="20"/>
        <w:ind w:left="516" w:right="726" w:firstLine="0"/>
        <w:jc w:val="center"/>
        <w:rPr>
          <w:sz w:val="16"/>
        </w:rPr>
      </w:pPr>
      <w:r>
        <w:rPr>
          <w:color w:val="231F20"/>
          <w:sz w:val="16"/>
        </w:rPr>
        <w:t>6:30 p.m. – 7:30 p.m.</w:t>
      </w:r>
    </w:p>
    <w:p>
      <w:pPr>
        <w:spacing w:line="266" w:lineRule="auto" w:before="100"/>
        <w:ind w:left="516" w:right="727" w:firstLine="0"/>
        <w:jc w:val="center"/>
        <w:rPr>
          <w:sz w:val="16"/>
        </w:rPr>
      </w:pPr>
      <w:r>
        <w:rPr>
          <w:b/>
          <w:color w:val="231F20"/>
          <w:sz w:val="16"/>
        </w:rPr>
        <w:t>Mediation and Arbitration Issues in Employment Matters: Thinking Outside the Box </w:t>
      </w:r>
      <w:r>
        <w:rPr>
          <w:color w:val="231F20"/>
          <w:sz w:val="16"/>
        </w:rPr>
        <w:t>seminar presented by the Alternative Dispute Resolution and the Labor and Emplolyment Law Sections</w:t>
      </w:r>
    </w:p>
    <w:p>
      <w:pPr>
        <w:spacing w:before="40"/>
        <w:ind w:left="516" w:right="726" w:firstLine="0"/>
        <w:jc w:val="center"/>
        <w:rPr>
          <w:sz w:val="16"/>
        </w:rPr>
      </w:pPr>
      <w:r>
        <w:rPr>
          <w:color w:val="231F20"/>
          <w:w w:val="95"/>
          <w:sz w:val="16"/>
        </w:rPr>
        <w:t>Friday, June 28,</w:t>
      </w:r>
      <w:r>
        <w:rPr>
          <w:color w:val="231F20"/>
          <w:spacing w:val="-21"/>
          <w:w w:val="95"/>
          <w:sz w:val="16"/>
        </w:rPr>
        <w:t> </w:t>
      </w:r>
      <w:r>
        <w:rPr>
          <w:color w:val="231F20"/>
          <w:w w:val="95"/>
          <w:sz w:val="16"/>
        </w:rPr>
        <w:t>2019</w:t>
      </w:r>
    </w:p>
    <w:p>
      <w:pPr>
        <w:spacing w:before="21"/>
        <w:ind w:left="516" w:right="727" w:firstLine="0"/>
        <w:jc w:val="center"/>
        <w:rPr>
          <w:sz w:val="16"/>
        </w:rPr>
      </w:pPr>
      <w:r>
        <w:rPr>
          <w:color w:val="231F20"/>
          <w:sz w:val="16"/>
        </w:rPr>
        <w:t>9:00</w:t>
      </w:r>
      <w:r>
        <w:rPr>
          <w:color w:val="231F20"/>
          <w:spacing w:val="-24"/>
          <w:sz w:val="16"/>
        </w:rPr>
        <w:t> </w:t>
      </w:r>
      <w:r>
        <w:rPr>
          <w:color w:val="231F20"/>
          <w:sz w:val="16"/>
        </w:rPr>
        <w:t>a.m.</w:t>
      </w:r>
      <w:r>
        <w:rPr>
          <w:color w:val="231F20"/>
          <w:spacing w:val="-23"/>
          <w:sz w:val="16"/>
        </w:rPr>
        <w:t> </w:t>
      </w:r>
      <w:r>
        <w:rPr>
          <w:color w:val="231F20"/>
          <w:sz w:val="16"/>
        </w:rPr>
        <w:t>–</w:t>
      </w:r>
      <w:r>
        <w:rPr>
          <w:color w:val="231F20"/>
          <w:spacing w:val="-23"/>
          <w:sz w:val="16"/>
        </w:rPr>
        <w:t> </w:t>
      </w:r>
      <w:r>
        <w:rPr>
          <w:color w:val="231F20"/>
          <w:spacing w:val="-3"/>
          <w:sz w:val="16"/>
        </w:rPr>
        <w:t>11:00</w:t>
      </w:r>
      <w:r>
        <w:rPr>
          <w:color w:val="231F20"/>
          <w:spacing w:val="-24"/>
          <w:sz w:val="16"/>
        </w:rPr>
        <w:t> </w:t>
      </w:r>
      <w:r>
        <w:rPr>
          <w:color w:val="231F20"/>
          <w:sz w:val="16"/>
        </w:rPr>
        <w:t>a.m.</w:t>
      </w:r>
    </w:p>
    <w:p>
      <w:pPr>
        <w:spacing w:after="0"/>
        <w:jc w:val="center"/>
        <w:rPr>
          <w:sz w:val="16"/>
        </w:rPr>
        <w:sectPr>
          <w:type w:val="continuous"/>
          <w:pgSz w:w="12240" w:h="15840"/>
          <w:pgMar w:top="500" w:bottom="280" w:left="720" w:right="540"/>
          <w:cols w:num="2" w:equalWidth="0">
            <w:col w:w="5045" w:space="40"/>
            <w:col w:w="5895"/>
          </w:cols>
        </w:sectPr>
      </w:pPr>
    </w:p>
    <w:p>
      <w:pPr>
        <w:pStyle w:val="BodyText"/>
      </w:pPr>
    </w:p>
    <w:p>
      <w:pPr>
        <w:pStyle w:val="BodyText"/>
        <w:spacing w:before="8"/>
        <w:rPr>
          <w:sz w:val="19"/>
        </w:rPr>
      </w:pPr>
    </w:p>
    <w:p>
      <w:pPr>
        <w:spacing w:before="0"/>
        <w:ind w:left="5755" w:right="0" w:firstLine="0"/>
        <w:jc w:val="center"/>
        <w:rPr>
          <w:rFonts w:ascii="Times New Roman"/>
          <w:b/>
          <w:i/>
          <w:sz w:val="19"/>
        </w:rPr>
      </w:pPr>
      <w:r>
        <w:rPr/>
        <w:pict>
          <v:shape style="position:absolute;margin-left:447.488495pt;margin-top:8.565342pt;width:13.85pt;height:31.7pt;mso-position-horizontal-relative:page;mso-position-vertical-relative:paragraph;z-index:-253176832" type="#_x0000_t202" filled="false" stroked="false">
            <v:textbox inset="0,0,0,0">
              <w:txbxContent>
                <w:p>
                  <w:pPr>
                    <w:spacing w:line="620" w:lineRule="exact" w:before="0"/>
                    <w:ind w:left="0" w:right="0" w:firstLine="0"/>
                    <w:jc w:val="left"/>
                    <w:rPr>
                      <w:rFonts w:ascii="Times New Roman"/>
                      <w:b/>
                      <w:sz w:val="55"/>
                    </w:rPr>
                  </w:pPr>
                  <w:r>
                    <w:rPr>
                      <w:rFonts w:ascii="Times New Roman"/>
                      <w:b/>
                      <w:color w:val="FFFFFF"/>
                      <w:w w:val="100"/>
                      <w:sz w:val="55"/>
                    </w:rPr>
                    <w:t>9</w:t>
                  </w:r>
                </w:p>
              </w:txbxContent>
            </v:textbox>
            <w10:wrap type="none"/>
          </v:shape>
        </w:pict>
      </w:r>
      <w:bookmarkStart w:name="_bookmark2" w:id="3"/>
      <w:bookmarkEnd w:id="3"/>
      <w:r>
        <w:rPr/>
      </w:r>
      <w:bookmarkStart w:name="_bookmark3" w:id="4"/>
      <w:bookmarkEnd w:id="4"/>
      <w:r>
        <w:rPr/>
      </w:r>
      <w:r>
        <w:rPr>
          <w:rFonts w:ascii="Times New Roman"/>
          <w:b/>
          <w:i/>
          <w:color w:val="FFFFFF"/>
          <w:w w:val="105"/>
          <w:sz w:val="19"/>
        </w:rPr>
        <w:t>Earn</w:t>
      </w:r>
    </w:p>
    <w:p>
      <w:pPr>
        <w:pStyle w:val="BodyText"/>
        <w:rPr>
          <w:rFonts w:ascii="Times New Roman"/>
          <w:b/>
          <w:i/>
          <w:sz w:val="22"/>
        </w:rPr>
      </w:pPr>
    </w:p>
    <w:p>
      <w:pPr>
        <w:pStyle w:val="BodyText"/>
        <w:spacing w:before="9"/>
        <w:rPr>
          <w:rFonts w:ascii="Times New Roman"/>
          <w:b/>
          <w:i/>
          <w:sz w:val="19"/>
        </w:rPr>
      </w:pPr>
    </w:p>
    <w:p>
      <w:pPr>
        <w:spacing w:line="216" w:lineRule="auto" w:before="0"/>
        <w:ind w:left="7860" w:right="2102" w:hanging="1"/>
        <w:jc w:val="center"/>
        <w:rPr>
          <w:rFonts w:ascii="Times New Roman"/>
          <w:b/>
          <w:i/>
          <w:sz w:val="19"/>
        </w:rPr>
      </w:pPr>
      <w:r>
        <w:rPr>
          <w:rFonts w:ascii="Times New Roman"/>
          <w:b/>
          <w:i/>
          <w:color w:val="FFFFFF"/>
          <w:w w:val="105"/>
          <w:sz w:val="19"/>
        </w:rPr>
        <w:t>hours of </w:t>
      </w:r>
      <w:r>
        <w:rPr>
          <w:rFonts w:ascii="Times New Roman"/>
          <w:b/>
          <w:i/>
          <w:color w:val="FFFFFF"/>
          <w:w w:val="105"/>
          <w:sz w:val="19"/>
        </w:rPr>
        <w:t>CLE</w:t>
      </w:r>
      <w:r>
        <w:rPr>
          <w:rFonts w:ascii="Times New Roman"/>
          <w:b/>
          <w:i/>
          <w:color w:val="FFFFFF"/>
          <w:spacing w:val="-7"/>
          <w:w w:val="105"/>
          <w:sz w:val="19"/>
        </w:rPr>
        <w:t> </w:t>
      </w:r>
      <w:r>
        <w:rPr>
          <w:rFonts w:ascii="Times New Roman"/>
          <w:b/>
          <w:i/>
          <w:color w:val="FFFFFF"/>
          <w:spacing w:val="-3"/>
          <w:w w:val="105"/>
          <w:sz w:val="19"/>
        </w:rPr>
        <w:t>Credit!</w:t>
      </w:r>
    </w:p>
    <w:p>
      <w:pPr>
        <w:spacing w:before="101"/>
        <w:ind w:left="0" w:right="2199" w:firstLine="0"/>
        <w:jc w:val="right"/>
        <w:rPr>
          <w:rFonts w:ascii="Times New Roman"/>
          <w:b/>
          <w:sz w:val="19"/>
        </w:rPr>
      </w:pPr>
      <w:r>
        <w:rPr>
          <w:rFonts w:ascii="Times New Roman"/>
          <w:b/>
          <w:color w:val="FFFFFF"/>
          <w:sz w:val="19"/>
        </w:rPr>
        <w:t>1.0</w:t>
      </w:r>
      <w:r>
        <w:rPr>
          <w:rFonts w:ascii="Times New Roman"/>
          <w:b/>
          <w:color w:val="FFFFFF"/>
          <w:spacing w:val="-11"/>
          <w:sz w:val="19"/>
        </w:rPr>
        <w:t> </w:t>
      </w:r>
      <w:r>
        <w:rPr>
          <w:rFonts w:ascii="Times New Roman"/>
          <w:b/>
          <w:color w:val="FFFFFF"/>
          <w:sz w:val="19"/>
        </w:rPr>
        <w:t>Ethics</w:t>
      </w:r>
    </w:p>
    <w:p>
      <w:pPr>
        <w:pStyle w:val="BodyText"/>
        <w:spacing w:before="10"/>
        <w:rPr>
          <w:rFonts w:ascii="Times New Roman"/>
          <w:b/>
          <w:sz w:val="28"/>
        </w:rPr>
      </w:pPr>
    </w:p>
    <w:p>
      <w:pPr>
        <w:spacing w:line="259" w:lineRule="auto" w:before="102"/>
        <w:ind w:left="941" w:right="1237" w:firstLine="0"/>
        <w:jc w:val="center"/>
        <w:rPr>
          <w:rFonts w:ascii="Times New Roman"/>
          <w:b/>
          <w:sz w:val="19"/>
        </w:rPr>
      </w:pPr>
      <w:r>
        <w:rPr/>
        <w:pict>
          <v:shape style="position:absolute;margin-left:116.776497pt;margin-top:26.191114pt;width:372.55pt;height:55.45pt;mso-position-horizontal-relative:page;mso-position-vertical-relative:paragraph;z-index:-253175808" type="#_x0000_t202" filled="false" stroked="false">
            <v:textbox inset="0,0,0,0">
              <w:txbxContent>
                <w:p>
                  <w:pPr>
                    <w:spacing w:before="46"/>
                    <w:ind w:left="0" w:right="0" w:firstLine="0"/>
                    <w:jc w:val="left"/>
                    <w:rPr>
                      <w:rFonts w:ascii="Times New Roman"/>
                      <w:b/>
                      <w:sz w:val="65"/>
                    </w:rPr>
                  </w:pPr>
                  <w:r>
                    <w:rPr>
                      <w:rFonts w:ascii="Times New Roman"/>
                      <w:b/>
                      <w:color w:val="0063A7"/>
                      <w:w w:val="95"/>
                      <w:sz w:val="65"/>
                    </w:rPr>
                    <w:t>Advanced</w:t>
                  </w:r>
                  <w:r>
                    <w:rPr>
                      <w:rFonts w:ascii="Times New Roman"/>
                      <w:b/>
                      <w:color w:val="0063A7"/>
                      <w:spacing w:val="-59"/>
                      <w:w w:val="95"/>
                      <w:sz w:val="65"/>
                    </w:rPr>
                    <w:t> </w:t>
                  </w:r>
                  <w:r>
                    <w:rPr>
                      <w:rFonts w:ascii="Times New Roman"/>
                      <w:b/>
                      <w:color w:val="0063A7"/>
                      <w:w w:val="95"/>
                      <w:sz w:val="65"/>
                    </w:rPr>
                    <w:t>Labor</w:t>
                  </w:r>
                  <w:r>
                    <w:rPr>
                      <w:rFonts w:ascii="Times New Roman"/>
                      <w:b/>
                      <w:color w:val="0063A7"/>
                      <w:spacing w:val="-58"/>
                      <w:w w:val="95"/>
                      <w:sz w:val="65"/>
                    </w:rPr>
                    <w:t> </w:t>
                  </w:r>
                  <w:r>
                    <w:rPr>
                      <w:rFonts w:ascii="Times New Roman"/>
                      <w:b/>
                      <w:color w:val="0063A7"/>
                      <w:spacing w:val="-16"/>
                      <w:w w:val="95"/>
                      <w:sz w:val="65"/>
                    </w:rPr>
                    <w:t>Topics</w:t>
                  </w:r>
                  <w:r>
                    <w:rPr>
                      <w:rFonts w:ascii="Times New Roman"/>
                      <w:b/>
                      <w:color w:val="0063A7"/>
                      <w:spacing w:val="-58"/>
                      <w:w w:val="95"/>
                      <w:sz w:val="65"/>
                    </w:rPr>
                    <w:t> </w:t>
                  </w:r>
                  <w:r>
                    <w:rPr>
                      <w:rFonts w:ascii="Times New Roman"/>
                      <w:b/>
                      <w:color w:val="0063A7"/>
                      <w:spacing w:val="-6"/>
                      <w:w w:val="95"/>
                      <w:sz w:val="65"/>
                    </w:rPr>
                    <w:t>2019</w:t>
                  </w:r>
                </w:p>
              </w:txbxContent>
            </v:textbox>
            <w10:wrap type="none"/>
          </v:shape>
        </w:pict>
      </w:r>
      <w:r>
        <w:rPr>
          <w:rFonts w:ascii="Times New Roman"/>
          <w:b/>
          <w:color w:val="231F20"/>
          <w:w w:val="105"/>
          <w:sz w:val="19"/>
        </w:rPr>
        <w:t>The</w:t>
      </w:r>
      <w:r>
        <w:rPr>
          <w:rFonts w:ascii="Times New Roman"/>
          <w:b/>
          <w:color w:val="231F20"/>
          <w:spacing w:val="-8"/>
          <w:w w:val="105"/>
          <w:sz w:val="19"/>
        </w:rPr>
        <w:t> </w:t>
      </w:r>
      <w:r>
        <w:rPr>
          <w:rFonts w:ascii="Times New Roman"/>
          <w:b/>
          <w:color w:val="231F20"/>
          <w:w w:val="105"/>
          <w:sz w:val="19"/>
        </w:rPr>
        <w:t>Florida</w:t>
      </w:r>
      <w:r>
        <w:rPr>
          <w:rFonts w:ascii="Times New Roman"/>
          <w:b/>
          <w:color w:val="231F20"/>
          <w:spacing w:val="-8"/>
          <w:w w:val="105"/>
          <w:sz w:val="19"/>
        </w:rPr>
        <w:t> </w:t>
      </w:r>
      <w:r>
        <w:rPr>
          <w:rFonts w:ascii="Times New Roman"/>
          <w:b/>
          <w:color w:val="231F20"/>
          <w:w w:val="105"/>
          <w:sz w:val="19"/>
        </w:rPr>
        <w:t>Bar</w:t>
      </w:r>
      <w:r>
        <w:rPr>
          <w:rFonts w:ascii="Times New Roman"/>
          <w:b/>
          <w:color w:val="231F20"/>
          <w:spacing w:val="-11"/>
          <w:w w:val="105"/>
          <w:sz w:val="19"/>
        </w:rPr>
        <w:t> </w:t>
      </w:r>
      <w:r>
        <w:rPr>
          <w:rFonts w:ascii="Times New Roman"/>
          <w:b/>
          <w:color w:val="231F20"/>
          <w:w w:val="105"/>
          <w:sz w:val="19"/>
        </w:rPr>
        <w:t>Continuing</w:t>
      </w:r>
      <w:r>
        <w:rPr>
          <w:rFonts w:ascii="Times New Roman"/>
          <w:b/>
          <w:color w:val="231F20"/>
          <w:spacing w:val="-7"/>
          <w:w w:val="105"/>
          <w:sz w:val="19"/>
        </w:rPr>
        <w:t> </w:t>
      </w:r>
      <w:r>
        <w:rPr>
          <w:rFonts w:ascii="Times New Roman"/>
          <w:b/>
          <w:color w:val="231F20"/>
          <w:w w:val="105"/>
          <w:sz w:val="19"/>
        </w:rPr>
        <w:t>Legal</w:t>
      </w:r>
      <w:r>
        <w:rPr>
          <w:rFonts w:ascii="Times New Roman"/>
          <w:b/>
          <w:color w:val="231F20"/>
          <w:spacing w:val="-8"/>
          <w:w w:val="105"/>
          <w:sz w:val="19"/>
        </w:rPr>
        <w:t> </w:t>
      </w:r>
      <w:r>
        <w:rPr>
          <w:rFonts w:ascii="Times New Roman"/>
          <w:b/>
          <w:color w:val="231F20"/>
          <w:w w:val="105"/>
          <w:sz w:val="19"/>
        </w:rPr>
        <w:t>Education</w:t>
      </w:r>
      <w:r>
        <w:rPr>
          <w:rFonts w:ascii="Times New Roman"/>
          <w:b/>
          <w:color w:val="231F20"/>
          <w:spacing w:val="-8"/>
          <w:w w:val="105"/>
          <w:sz w:val="19"/>
        </w:rPr>
        <w:t> </w:t>
      </w:r>
      <w:r>
        <w:rPr>
          <w:rFonts w:ascii="Times New Roman"/>
          <w:b/>
          <w:color w:val="231F20"/>
          <w:w w:val="105"/>
          <w:sz w:val="19"/>
        </w:rPr>
        <w:t>Committee</w:t>
      </w:r>
      <w:r>
        <w:rPr>
          <w:rFonts w:ascii="Times New Roman"/>
          <w:b/>
          <w:color w:val="231F20"/>
          <w:spacing w:val="-8"/>
          <w:w w:val="105"/>
          <w:sz w:val="19"/>
        </w:rPr>
        <w:t> </w:t>
      </w:r>
      <w:r>
        <w:rPr>
          <w:rFonts w:ascii="Times New Roman"/>
          <w:b/>
          <w:color w:val="231F20"/>
          <w:w w:val="105"/>
          <w:sz w:val="19"/>
        </w:rPr>
        <w:t>and</w:t>
      </w:r>
      <w:r>
        <w:rPr>
          <w:rFonts w:ascii="Times New Roman"/>
          <w:b/>
          <w:color w:val="231F20"/>
          <w:spacing w:val="-8"/>
          <w:w w:val="105"/>
          <w:sz w:val="19"/>
        </w:rPr>
        <w:t> </w:t>
      </w:r>
      <w:r>
        <w:rPr>
          <w:rFonts w:ascii="Times New Roman"/>
          <w:b/>
          <w:color w:val="231F20"/>
          <w:w w:val="105"/>
          <w:sz w:val="19"/>
        </w:rPr>
        <w:t>the</w:t>
      </w:r>
      <w:r>
        <w:rPr>
          <w:rFonts w:ascii="Times New Roman"/>
          <w:b/>
          <w:color w:val="231F20"/>
          <w:spacing w:val="-8"/>
          <w:w w:val="105"/>
          <w:sz w:val="19"/>
        </w:rPr>
        <w:t> </w:t>
      </w:r>
      <w:r>
        <w:rPr>
          <w:rFonts w:ascii="Times New Roman"/>
          <w:b/>
          <w:color w:val="231F20"/>
          <w:w w:val="105"/>
          <w:sz w:val="19"/>
        </w:rPr>
        <w:t>Labor</w:t>
      </w:r>
      <w:r>
        <w:rPr>
          <w:rFonts w:ascii="Times New Roman"/>
          <w:b/>
          <w:color w:val="231F20"/>
          <w:spacing w:val="-10"/>
          <w:w w:val="105"/>
          <w:sz w:val="19"/>
        </w:rPr>
        <w:t> </w:t>
      </w:r>
      <w:r>
        <w:rPr>
          <w:rFonts w:ascii="Times New Roman"/>
          <w:b/>
          <w:color w:val="231F20"/>
          <w:w w:val="105"/>
          <w:sz w:val="19"/>
        </w:rPr>
        <w:t>and</w:t>
      </w:r>
      <w:r>
        <w:rPr>
          <w:rFonts w:ascii="Times New Roman"/>
          <w:b/>
          <w:color w:val="231F20"/>
          <w:spacing w:val="-8"/>
          <w:w w:val="105"/>
          <w:sz w:val="19"/>
        </w:rPr>
        <w:t> </w:t>
      </w:r>
      <w:r>
        <w:rPr>
          <w:rFonts w:ascii="Times New Roman"/>
          <w:b/>
          <w:color w:val="231F20"/>
          <w:w w:val="105"/>
          <w:sz w:val="19"/>
        </w:rPr>
        <w:t>Employment</w:t>
      </w:r>
      <w:r>
        <w:rPr>
          <w:rFonts w:ascii="Times New Roman"/>
          <w:b/>
          <w:color w:val="231F20"/>
          <w:spacing w:val="-8"/>
          <w:w w:val="105"/>
          <w:sz w:val="19"/>
        </w:rPr>
        <w:t> </w:t>
      </w:r>
      <w:r>
        <w:rPr>
          <w:rFonts w:ascii="Times New Roman"/>
          <w:b/>
          <w:color w:val="231F20"/>
          <w:w w:val="105"/>
          <w:sz w:val="19"/>
        </w:rPr>
        <w:t>Law</w:t>
      </w:r>
      <w:r>
        <w:rPr>
          <w:rFonts w:ascii="Times New Roman"/>
          <w:b/>
          <w:color w:val="231F20"/>
          <w:spacing w:val="-8"/>
          <w:w w:val="105"/>
          <w:sz w:val="19"/>
        </w:rPr>
        <w:t> </w:t>
      </w:r>
      <w:r>
        <w:rPr>
          <w:rFonts w:ascii="Times New Roman"/>
          <w:b/>
          <w:color w:val="231F20"/>
          <w:w w:val="105"/>
          <w:sz w:val="19"/>
        </w:rPr>
        <w:t>Section present</w:t>
      </w:r>
    </w:p>
    <w:p>
      <w:pPr>
        <w:pStyle w:val="BodyText"/>
        <w:rPr>
          <w:rFonts w:ascii="Times New Roman"/>
          <w:b/>
          <w:sz w:val="22"/>
        </w:rPr>
      </w:pPr>
    </w:p>
    <w:p>
      <w:pPr>
        <w:pStyle w:val="BodyText"/>
        <w:rPr>
          <w:rFonts w:ascii="Times New Roman"/>
          <w:b/>
          <w:sz w:val="22"/>
        </w:rPr>
      </w:pPr>
    </w:p>
    <w:p>
      <w:pPr>
        <w:pStyle w:val="BodyText"/>
        <w:spacing w:before="2"/>
        <w:rPr>
          <w:rFonts w:ascii="Times New Roman"/>
          <w:b/>
          <w:sz w:val="25"/>
        </w:rPr>
      </w:pPr>
    </w:p>
    <w:p>
      <w:pPr>
        <w:spacing w:line="261" w:lineRule="auto" w:before="1"/>
        <w:ind w:left="941" w:right="1237" w:firstLine="0"/>
        <w:jc w:val="center"/>
        <w:rPr>
          <w:rFonts w:ascii="Times New Roman"/>
          <w:sz w:val="17"/>
        </w:rPr>
      </w:pPr>
      <w:r>
        <w:rPr>
          <w:rFonts w:ascii="Times New Roman"/>
          <w:color w:val="231F20"/>
          <w:sz w:val="17"/>
        </w:rPr>
        <w:t>This advanced two-day seminar will review 11th Circuit EEO cases; discuss service animals in the workplace; provide wage and hour updates from inside the beltway; provide Supreme Court and agency updates; provide PERC and NLRB updates; present a view from the bench regarding professionalism in labor and employment law cases; and provide OSHA and HIPAA updates.</w:t>
      </w:r>
    </w:p>
    <w:p>
      <w:pPr>
        <w:spacing w:before="79"/>
        <w:ind w:left="613" w:right="909" w:firstLine="0"/>
        <w:jc w:val="center"/>
        <w:rPr>
          <w:rFonts w:ascii="Times New Roman" w:hAnsi="Times New Roman"/>
          <w:sz w:val="17"/>
        </w:rPr>
      </w:pPr>
      <w:r>
        <w:rPr>
          <w:rFonts w:ascii="Times New Roman" w:hAnsi="Times New Roman"/>
          <w:color w:val="231F20"/>
          <w:w w:val="105"/>
          <w:sz w:val="17"/>
        </w:rPr>
        <w:t>Course No. 2888 • Advanced Level • Live Presentation</w:t>
      </w:r>
    </w:p>
    <w:p>
      <w:pPr>
        <w:pStyle w:val="BodyText"/>
        <w:rPr>
          <w:rFonts w:ascii="Times New Roman"/>
          <w:sz w:val="15"/>
        </w:rPr>
      </w:pPr>
    </w:p>
    <w:p>
      <w:pPr>
        <w:spacing w:after="0"/>
        <w:rPr>
          <w:rFonts w:ascii="Times New Roman"/>
          <w:sz w:val="15"/>
        </w:rPr>
        <w:sectPr>
          <w:headerReference w:type="default" r:id="rId10"/>
          <w:footerReference w:type="default" r:id="rId11"/>
          <w:pgSz w:w="12240" w:h="15840"/>
          <w:pgMar w:header="0" w:footer="558" w:top="980" w:bottom="740" w:left="720" w:right="540"/>
          <w:pgNumType w:start="3"/>
        </w:sectPr>
      </w:pPr>
    </w:p>
    <w:p>
      <w:pPr>
        <w:spacing w:before="100"/>
        <w:ind w:left="839" w:right="0" w:firstLine="0"/>
        <w:jc w:val="left"/>
        <w:rPr>
          <w:rFonts w:ascii="Times New Roman"/>
          <w:b/>
          <w:sz w:val="23"/>
        </w:rPr>
      </w:pPr>
      <w:r>
        <w:rPr>
          <w:rFonts w:ascii="Times New Roman"/>
          <w:b/>
          <w:color w:val="231F20"/>
          <w:w w:val="105"/>
          <w:sz w:val="23"/>
          <w:u w:val="single" w:color="231F20"/>
        </w:rPr>
        <w:t>Friday, April 12, 2019</w:t>
      </w:r>
    </w:p>
    <w:p>
      <w:pPr>
        <w:spacing w:before="84"/>
        <w:ind w:left="839" w:right="0" w:firstLine="0"/>
        <w:jc w:val="left"/>
        <w:rPr>
          <w:rFonts w:ascii="Times New Roman" w:hAnsi="Times New Roman"/>
          <w:sz w:val="17"/>
        </w:rPr>
      </w:pPr>
      <w:r>
        <w:rPr>
          <w:rFonts w:ascii="Times New Roman" w:hAnsi="Times New Roman"/>
          <w:color w:val="231F20"/>
          <w:w w:val="105"/>
          <w:sz w:val="17"/>
        </w:rPr>
        <w:t>12:00 noon – 12:25 p.m.</w:t>
      </w:r>
    </w:p>
    <w:p>
      <w:pPr>
        <w:spacing w:before="18"/>
        <w:ind w:left="839" w:right="0" w:firstLine="0"/>
        <w:jc w:val="left"/>
        <w:rPr>
          <w:rFonts w:ascii="Times New Roman"/>
          <w:b/>
          <w:sz w:val="17"/>
        </w:rPr>
      </w:pPr>
      <w:r>
        <w:rPr>
          <w:rFonts w:ascii="Times New Roman"/>
          <w:b/>
          <w:color w:val="231F20"/>
          <w:w w:val="105"/>
          <w:sz w:val="17"/>
        </w:rPr>
        <w:t>Late Registration</w:t>
      </w:r>
    </w:p>
    <w:p>
      <w:pPr>
        <w:spacing w:before="97"/>
        <w:ind w:left="839" w:right="0" w:firstLine="0"/>
        <w:jc w:val="left"/>
        <w:rPr>
          <w:rFonts w:ascii="Times New Roman" w:hAnsi="Times New Roman"/>
          <w:sz w:val="17"/>
        </w:rPr>
      </w:pPr>
      <w:r>
        <w:rPr>
          <w:rFonts w:ascii="Times New Roman" w:hAnsi="Times New Roman"/>
          <w:color w:val="231F20"/>
          <w:w w:val="105"/>
          <w:sz w:val="17"/>
        </w:rPr>
        <w:t>12:25 p.m. – 12:30 p.m.</w:t>
      </w:r>
    </w:p>
    <w:p>
      <w:pPr>
        <w:spacing w:before="17"/>
        <w:ind w:left="839" w:right="0" w:firstLine="0"/>
        <w:jc w:val="left"/>
        <w:rPr>
          <w:rFonts w:ascii="Times New Roman"/>
          <w:b/>
          <w:sz w:val="17"/>
        </w:rPr>
      </w:pPr>
      <w:r>
        <w:rPr>
          <w:rFonts w:ascii="Times New Roman"/>
          <w:b/>
          <w:color w:val="231F20"/>
          <w:w w:val="105"/>
          <w:sz w:val="17"/>
        </w:rPr>
        <w:t>Welcome and Introductory Remarks</w:t>
      </w:r>
    </w:p>
    <w:p>
      <w:pPr>
        <w:spacing w:line="261" w:lineRule="auto" w:before="18"/>
        <w:ind w:left="839" w:right="0" w:firstLine="0"/>
        <w:jc w:val="left"/>
        <w:rPr>
          <w:rFonts w:ascii="Times New Roman" w:hAnsi="Times New Roman"/>
          <w:i/>
          <w:sz w:val="17"/>
        </w:rPr>
      </w:pPr>
      <w:r>
        <w:rPr>
          <w:rFonts w:ascii="Times New Roman" w:hAnsi="Times New Roman"/>
          <w:i/>
          <w:color w:val="231F20"/>
          <w:w w:val="105"/>
          <w:sz w:val="17"/>
        </w:rPr>
        <w:t>Cynthia Sass, Sass Law Firm, Tampa – Program Co-Chair </w:t>
      </w:r>
      <w:r>
        <w:rPr>
          <w:rFonts w:ascii="Times New Roman" w:hAnsi="Times New Roman"/>
          <w:i/>
          <w:color w:val="231F20"/>
          <w:w w:val="105"/>
          <w:sz w:val="17"/>
        </w:rPr>
        <w:t>Gregory A. Hearing, Thompson, Sizemore, Gonzalez &amp;</w:t>
      </w:r>
    </w:p>
    <w:p>
      <w:pPr>
        <w:spacing w:before="0"/>
        <w:ind w:left="1017" w:right="0" w:firstLine="0"/>
        <w:jc w:val="left"/>
        <w:rPr>
          <w:rFonts w:ascii="Times New Roman" w:hAnsi="Times New Roman"/>
          <w:i/>
          <w:sz w:val="17"/>
        </w:rPr>
      </w:pPr>
      <w:r>
        <w:rPr>
          <w:rFonts w:ascii="Times New Roman" w:hAnsi="Times New Roman"/>
          <w:i/>
          <w:color w:val="231F20"/>
          <w:w w:val="105"/>
          <w:sz w:val="17"/>
        </w:rPr>
        <w:t>Hearing, P.A., Tampa – Program Co-Chair</w:t>
      </w:r>
    </w:p>
    <w:p>
      <w:pPr>
        <w:spacing w:before="97"/>
        <w:ind w:left="839" w:right="0" w:firstLine="0"/>
        <w:jc w:val="left"/>
        <w:rPr>
          <w:rFonts w:ascii="Times New Roman" w:hAnsi="Times New Roman"/>
          <w:sz w:val="17"/>
        </w:rPr>
      </w:pPr>
      <w:r>
        <w:rPr>
          <w:rFonts w:ascii="Times New Roman" w:hAnsi="Times New Roman"/>
          <w:color w:val="231F20"/>
          <w:w w:val="105"/>
          <w:sz w:val="17"/>
        </w:rPr>
        <w:t>12:30 p.m. – 1:45 p.m.</w:t>
      </w:r>
    </w:p>
    <w:p>
      <w:pPr>
        <w:spacing w:before="18"/>
        <w:ind w:left="839" w:right="0" w:firstLine="0"/>
        <w:jc w:val="left"/>
        <w:rPr>
          <w:rFonts w:ascii="Times New Roman"/>
          <w:b/>
          <w:sz w:val="17"/>
        </w:rPr>
      </w:pPr>
      <w:r>
        <w:rPr>
          <w:rFonts w:ascii="Times New Roman"/>
          <w:b/>
          <w:color w:val="231F20"/>
          <w:w w:val="105"/>
          <w:sz w:val="17"/>
        </w:rPr>
        <w:t>11th Circuit EEO Update</w:t>
      </w:r>
    </w:p>
    <w:p>
      <w:pPr>
        <w:spacing w:line="261" w:lineRule="auto" w:before="17"/>
        <w:ind w:left="1017" w:right="25" w:hanging="178"/>
        <w:jc w:val="left"/>
        <w:rPr>
          <w:rFonts w:ascii="Times New Roman"/>
          <w:i/>
          <w:sz w:val="17"/>
        </w:rPr>
      </w:pPr>
      <w:r>
        <w:rPr>
          <w:rFonts w:ascii="Times New Roman"/>
          <w:i/>
          <w:color w:val="231F20"/>
          <w:w w:val="105"/>
          <w:sz w:val="17"/>
        </w:rPr>
        <w:t>Robert E. Weisberg, Regional Attorney, Equal Employment </w:t>
      </w:r>
      <w:r>
        <w:rPr>
          <w:rFonts w:ascii="Times New Roman"/>
          <w:i/>
          <w:color w:val="231F20"/>
          <w:w w:val="105"/>
          <w:sz w:val="17"/>
        </w:rPr>
        <w:t>Opportunity Commission, Miami</w:t>
      </w:r>
    </w:p>
    <w:p>
      <w:pPr>
        <w:spacing w:before="80"/>
        <w:ind w:left="839" w:right="0" w:firstLine="0"/>
        <w:jc w:val="left"/>
        <w:rPr>
          <w:rFonts w:ascii="Times New Roman" w:hAnsi="Times New Roman"/>
          <w:sz w:val="17"/>
        </w:rPr>
      </w:pPr>
      <w:r>
        <w:rPr>
          <w:rFonts w:ascii="Times New Roman" w:hAnsi="Times New Roman"/>
          <w:color w:val="231F20"/>
          <w:w w:val="105"/>
          <w:sz w:val="17"/>
        </w:rPr>
        <w:t>1:45 p.m. – 2:00 p.m.</w:t>
      </w:r>
    </w:p>
    <w:p>
      <w:pPr>
        <w:spacing w:before="17"/>
        <w:ind w:left="839" w:right="0" w:firstLine="0"/>
        <w:jc w:val="left"/>
        <w:rPr>
          <w:rFonts w:ascii="Times New Roman"/>
          <w:b/>
          <w:sz w:val="17"/>
        </w:rPr>
      </w:pPr>
      <w:r>
        <w:rPr>
          <w:rFonts w:ascii="Times New Roman"/>
          <w:b/>
          <w:color w:val="231F20"/>
          <w:w w:val="105"/>
          <w:sz w:val="17"/>
        </w:rPr>
        <w:t>Break</w:t>
      </w:r>
    </w:p>
    <w:p>
      <w:pPr>
        <w:spacing w:before="97"/>
        <w:ind w:left="839" w:right="0" w:firstLine="0"/>
        <w:jc w:val="left"/>
        <w:rPr>
          <w:rFonts w:ascii="Times New Roman" w:hAnsi="Times New Roman"/>
          <w:sz w:val="17"/>
        </w:rPr>
      </w:pPr>
      <w:r>
        <w:rPr>
          <w:rFonts w:ascii="Times New Roman" w:hAnsi="Times New Roman"/>
          <w:color w:val="231F20"/>
          <w:w w:val="105"/>
          <w:sz w:val="17"/>
        </w:rPr>
        <w:t>2:00 p.m. – 3:15 p.m.</w:t>
      </w:r>
    </w:p>
    <w:p>
      <w:pPr>
        <w:spacing w:before="18"/>
        <w:ind w:left="839" w:right="0" w:firstLine="0"/>
        <w:jc w:val="left"/>
        <w:rPr>
          <w:rFonts w:ascii="Times New Roman"/>
          <w:b/>
          <w:sz w:val="17"/>
        </w:rPr>
      </w:pPr>
      <w:r>
        <w:rPr>
          <w:rFonts w:ascii="Times New Roman"/>
          <w:b/>
          <w:color w:val="231F20"/>
          <w:w w:val="105"/>
          <w:sz w:val="17"/>
        </w:rPr>
        <w:t>Service Animals in the Workplace</w:t>
      </w:r>
    </w:p>
    <w:p>
      <w:pPr>
        <w:spacing w:line="261" w:lineRule="auto" w:before="17"/>
        <w:ind w:left="839" w:right="699" w:firstLine="0"/>
        <w:jc w:val="left"/>
        <w:rPr>
          <w:rFonts w:ascii="Times New Roman"/>
          <w:i/>
          <w:sz w:val="17"/>
        </w:rPr>
      </w:pPr>
      <w:r>
        <w:rPr>
          <w:rFonts w:ascii="Times New Roman"/>
          <w:i/>
          <w:color w:val="231F20"/>
          <w:w w:val="105"/>
          <w:sz w:val="17"/>
        </w:rPr>
        <w:t>Amanda Biondolino, Sass Law Firm, Tampa </w:t>
      </w:r>
      <w:r>
        <w:rPr>
          <w:rFonts w:ascii="Times New Roman"/>
          <w:i/>
          <w:color w:val="231F20"/>
          <w:w w:val="105"/>
          <w:sz w:val="17"/>
        </w:rPr>
        <w:t>Sacha Dyson, Thompson, Sizemore, Gonzalez &amp;</w:t>
      </w:r>
    </w:p>
    <w:p>
      <w:pPr>
        <w:spacing w:before="1"/>
        <w:ind w:left="1017" w:right="0" w:firstLine="0"/>
        <w:jc w:val="left"/>
        <w:rPr>
          <w:rFonts w:ascii="Times New Roman"/>
          <w:i/>
          <w:sz w:val="17"/>
        </w:rPr>
      </w:pPr>
      <w:r>
        <w:rPr>
          <w:rFonts w:ascii="Times New Roman"/>
          <w:i/>
          <w:color w:val="231F20"/>
          <w:w w:val="105"/>
          <w:sz w:val="17"/>
        </w:rPr>
        <w:t>Hearing, P.A., Tampa</w:t>
      </w:r>
    </w:p>
    <w:p>
      <w:pPr>
        <w:spacing w:before="96"/>
        <w:ind w:left="839" w:right="0" w:firstLine="0"/>
        <w:jc w:val="left"/>
        <w:rPr>
          <w:rFonts w:ascii="Times New Roman" w:hAnsi="Times New Roman"/>
          <w:sz w:val="17"/>
        </w:rPr>
      </w:pPr>
      <w:r>
        <w:rPr>
          <w:rFonts w:ascii="Times New Roman" w:hAnsi="Times New Roman"/>
          <w:color w:val="231F20"/>
          <w:w w:val="105"/>
          <w:sz w:val="17"/>
        </w:rPr>
        <w:t>3:15 p.m. – 3:30 p.m.</w:t>
      </w:r>
    </w:p>
    <w:p>
      <w:pPr>
        <w:spacing w:before="18"/>
        <w:ind w:left="839" w:right="0" w:firstLine="0"/>
        <w:jc w:val="left"/>
        <w:rPr>
          <w:rFonts w:ascii="Times New Roman"/>
          <w:b/>
          <w:sz w:val="17"/>
        </w:rPr>
      </w:pPr>
      <w:r>
        <w:rPr>
          <w:rFonts w:ascii="Times New Roman"/>
          <w:b/>
          <w:color w:val="231F20"/>
          <w:w w:val="105"/>
          <w:sz w:val="17"/>
        </w:rPr>
        <w:t>Break</w:t>
      </w:r>
    </w:p>
    <w:p>
      <w:pPr>
        <w:spacing w:before="97"/>
        <w:ind w:left="839" w:right="0" w:firstLine="0"/>
        <w:jc w:val="left"/>
        <w:rPr>
          <w:rFonts w:ascii="Times New Roman" w:hAnsi="Times New Roman"/>
          <w:sz w:val="17"/>
        </w:rPr>
      </w:pPr>
      <w:r>
        <w:rPr>
          <w:rFonts w:ascii="Times New Roman" w:hAnsi="Times New Roman"/>
          <w:color w:val="231F20"/>
          <w:w w:val="105"/>
          <w:sz w:val="17"/>
        </w:rPr>
        <w:t>3:30 p.m. – 4:45 p.m.</w:t>
      </w:r>
    </w:p>
    <w:p>
      <w:pPr>
        <w:spacing w:before="17"/>
        <w:ind w:left="839" w:right="0" w:firstLine="0"/>
        <w:jc w:val="left"/>
        <w:rPr>
          <w:rFonts w:ascii="Times New Roman"/>
          <w:b/>
          <w:sz w:val="17"/>
        </w:rPr>
      </w:pPr>
      <w:r>
        <w:rPr>
          <w:rFonts w:ascii="Times New Roman"/>
          <w:b/>
          <w:color w:val="231F20"/>
          <w:w w:val="105"/>
          <w:sz w:val="17"/>
        </w:rPr>
        <w:t>Wage and Hour Update from Inside the Beltway</w:t>
      </w:r>
    </w:p>
    <w:p>
      <w:pPr>
        <w:spacing w:line="261" w:lineRule="auto" w:before="18"/>
        <w:ind w:left="1017" w:right="-1" w:hanging="178"/>
        <w:jc w:val="left"/>
        <w:rPr>
          <w:rFonts w:ascii="Times New Roman"/>
          <w:i/>
          <w:sz w:val="17"/>
        </w:rPr>
      </w:pPr>
      <w:r>
        <w:rPr>
          <w:rFonts w:ascii="Times New Roman"/>
          <w:i/>
          <w:color w:val="231F20"/>
          <w:w w:val="105"/>
          <w:sz w:val="17"/>
        </w:rPr>
        <w:t>Keith</w:t>
      </w:r>
      <w:r>
        <w:rPr>
          <w:rFonts w:ascii="Times New Roman"/>
          <w:i/>
          <w:color w:val="231F20"/>
          <w:spacing w:val="-6"/>
          <w:w w:val="105"/>
          <w:sz w:val="17"/>
        </w:rPr>
        <w:t> </w:t>
      </w:r>
      <w:r>
        <w:rPr>
          <w:rFonts w:ascii="Times New Roman"/>
          <w:i/>
          <w:color w:val="231F20"/>
          <w:w w:val="105"/>
          <w:sz w:val="17"/>
        </w:rPr>
        <w:t>Sonderling,</w:t>
      </w:r>
      <w:r>
        <w:rPr>
          <w:rFonts w:ascii="Times New Roman"/>
          <w:i/>
          <w:color w:val="231F20"/>
          <w:spacing w:val="-7"/>
          <w:w w:val="105"/>
          <w:sz w:val="17"/>
        </w:rPr>
        <w:t> </w:t>
      </w:r>
      <w:r>
        <w:rPr>
          <w:rFonts w:ascii="Times New Roman"/>
          <w:i/>
          <w:color w:val="231F20"/>
          <w:w w:val="105"/>
          <w:sz w:val="17"/>
        </w:rPr>
        <w:t>Acting</w:t>
      </w:r>
      <w:r>
        <w:rPr>
          <w:rFonts w:ascii="Times New Roman"/>
          <w:i/>
          <w:color w:val="231F20"/>
          <w:spacing w:val="-8"/>
          <w:w w:val="105"/>
          <w:sz w:val="17"/>
        </w:rPr>
        <w:t> </w:t>
      </w:r>
      <w:r>
        <w:rPr>
          <w:rFonts w:ascii="Times New Roman"/>
          <w:i/>
          <w:color w:val="231F20"/>
          <w:w w:val="105"/>
          <w:sz w:val="17"/>
        </w:rPr>
        <w:t>Administrator,</w:t>
      </w:r>
      <w:r>
        <w:rPr>
          <w:rFonts w:ascii="Times New Roman"/>
          <w:i/>
          <w:color w:val="231F20"/>
          <w:spacing w:val="-5"/>
          <w:w w:val="105"/>
          <w:sz w:val="17"/>
        </w:rPr>
        <w:t> </w:t>
      </w:r>
      <w:r>
        <w:rPr>
          <w:rFonts w:ascii="Times New Roman"/>
          <w:i/>
          <w:color w:val="231F20"/>
          <w:w w:val="105"/>
          <w:sz w:val="17"/>
        </w:rPr>
        <w:t>U.S.</w:t>
      </w:r>
      <w:r>
        <w:rPr>
          <w:rFonts w:ascii="Times New Roman"/>
          <w:i/>
          <w:color w:val="231F20"/>
          <w:spacing w:val="-5"/>
          <w:w w:val="105"/>
          <w:sz w:val="17"/>
        </w:rPr>
        <w:t> </w:t>
      </w:r>
      <w:r>
        <w:rPr>
          <w:rFonts w:ascii="Times New Roman"/>
          <w:i/>
          <w:color w:val="231F20"/>
          <w:w w:val="105"/>
          <w:sz w:val="17"/>
        </w:rPr>
        <w:t>Dept.</w:t>
      </w:r>
      <w:r>
        <w:rPr>
          <w:rFonts w:ascii="Times New Roman"/>
          <w:i/>
          <w:color w:val="231F20"/>
          <w:spacing w:val="-6"/>
          <w:w w:val="105"/>
          <w:sz w:val="17"/>
        </w:rPr>
        <w:t> </w:t>
      </w:r>
      <w:r>
        <w:rPr>
          <w:rFonts w:ascii="Times New Roman"/>
          <w:i/>
          <w:color w:val="231F20"/>
          <w:w w:val="105"/>
          <w:sz w:val="17"/>
        </w:rPr>
        <w:t>of</w:t>
      </w:r>
      <w:r>
        <w:rPr>
          <w:rFonts w:ascii="Times New Roman"/>
          <w:i/>
          <w:color w:val="231F20"/>
          <w:spacing w:val="-5"/>
          <w:w w:val="105"/>
          <w:sz w:val="17"/>
        </w:rPr>
        <w:t> </w:t>
      </w:r>
      <w:r>
        <w:rPr>
          <w:rFonts w:ascii="Times New Roman"/>
          <w:i/>
          <w:color w:val="231F20"/>
          <w:spacing w:val="-7"/>
          <w:w w:val="105"/>
          <w:sz w:val="17"/>
        </w:rPr>
        <w:t>Labor, </w:t>
      </w:r>
      <w:r>
        <w:rPr>
          <w:rFonts w:ascii="Times New Roman"/>
          <w:i/>
          <w:color w:val="231F20"/>
          <w:spacing w:val="-5"/>
          <w:w w:val="105"/>
          <w:sz w:val="17"/>
        </w:rPr>
        <w:t>Wage </w:t>
      </w:r>
      <w:r>
        <w:rPr>
          <w:rFonts w:ascii="Times New Roman"/>
          <w:i/>
          <w:color w:val="231F20"/>
          <w:w w:val="105"/>
          <w:sz w:val="17"/>
        </w:rPr>
        <w:t>and Hour Division, Washington,</w:t>
      </w:r>
      <w:r>
        <w:rPr>
          <w:rFonts w:ascii="Times New Roman"/>
          <w:i/>
          <w:color w:val="231F20"/>
          <w:spacing w:val="-6"/>
          <w:w w:val="105"/>
          <w:sz w:val="17"/>
        </w:rPr>
        <w:t> </w:t>
      </w:r>
      <w:r>
        <w:rPr>
          <w:rFonts w:ascii="Times New Roman"/>
          <w:i/>
          <w:color w:val="231F20"/>
          <w:w w:val="105"/>
          <w:sz w:val="17"/>
        </w:rPr>
        <w:t>D.C.</w:t>
      </w:r>
    </w:p>
    <w:p>
      <w:pPr>
        <w:spacing w:before="79"/>
        <w:ind w:left="839" w:right="0" w:firstLine="0"/>
        <w:jc w:val="left"/>
        <w:rPr>
          <w:rFonts w:ascii="Times New Roman" w:hAnsi="Times New Roman"/>
          <w:sz w:val="17"/>
        </w:rPr>
      </w:pPr>
      <w:r>
        <w:rPr>
          <w:rFonts w:ascii="Times New Roman" w:hAnsi="Times New Roman"/>
          <w:color w:val="231F20"/>
          <w:w w:val="105"/>
          <w:sz w:val="17"/>
        </w:rPr>
        <w:t>5:00 p.m. – 6:00</w:t>
      </w:r>
      <w:r>
        <w:rPr>
          <w:rFonts w:ascii="Times New Roman" w:hAnsi="Times New Roman"/>
          <w:color w:val="231F20"/>
          <w:spacing w:val="-11"/>
          <w:w w:val="105"/>
          <w:sz w:val="17"/>
        </w:rPr>
        <w:t> </w:t>
      </w:r>
      <w:r>
        <w:rPr>
          <w:rFonts w:ascii="Times New Roman" w:hAnsi="Times New Roman"/>
          <w:color w:val="231F20"/>
          <w:w w:val="105"/>
          <w:sz w:val="17"/>
        </w:rPr>
        <w:t>p.m.</w:t>
      </w:r>
    </w:p>
    <w:p>
      <w:pPr>
        <w:spacing w:line="261" w:lineRule="auto" w:before="18"/>
        <w:ind w:left="839" w:right="67" w:firstLine="0"/>
        <w:jc w:val="left"/>
        <w:rPr>
          <w:rFonts w:ascii="Times New Roman"/>
          <w:b/>
          <w:sz w:val="17"/>
        </w:rPr>
      </w:pPr>
      <w:r>
        <w:rPr>
          <w:rFonts w:ascii="Times New Roman"/>
          <w:b/>
          <w:color w:val="231F20"/>
          <w:w w:val="105"/>
          <w:sz w:val="17"/>
        </w:rPr>
        <w:t>Labor</w:t>
      </w:r>
      <w:r>
        <w:rPr>
          <w:rFonts w:ascii="Times New Roman"/>
          <w:b/>
          <w:color w:val="231F20"/>
          <w:spacing w:val="-9"/>
          <w:w w:val="105"/>
          <w:sz w:val="17"/>
        </w:rPr>
        <w:t> </w:t>
      </w:r>
      <w:r>
        <w:rPr>
          <w:rFonts w:ascii="Times New Roman"/>
          <w:b/>
          <w:color w:val="231F20"/>
          <w:w w:val="105"/>
          <w:sz w:val="17"/>
        </w:rPr>
        <w:t>and</w:t>
      </w:r>
      <w:r>
        <w:rPr>
          <w:rFonts w:ascii="Times New Roman"/>
          <w:b/>
          <w:color w:val="231F20"/>
          <w:spacing w:val="-6"/>
          <w:w w:val="105"/>
          <w:sz w:val="17"/>
        </w:rPr>
        <w:t> </w:t>
      </w:r>
      <w:r>
        <w:rPr>
          <w:rFonts w:ascii="Times New Roman"/>
          <w:b/>
          <w:color w:val="231F20"/>
          <w:w w:val="105"/>
          <w:sz w:val="17"/>
        </w:rPr>
        <w:t>Employment</w:t>
      </w:r>
      <w:r>
        <w:rPr>
          <w:rFonts w:ascii="Times New Roman"/>
          <w:b/>
          <w:color w:val="231F20"/>
          <w:spacing w:val="-5"/>
          <w:w w:val="105"/>
          <w:sz w:val="17"/>
        </w:rPr>
        <w:t> </w:t>
      </w:r>
      <w:r>
        <w:rPr>
          <w:rFonts w:ascii="Times New Roman"/>
          <w:b/>
          <w:color w:val="231F20"/>
          <w:w w:val="105"/>
          <w:sz w:val="17"/>
        </w:rPr>
        <w:t>Law</w:t>
      </w:r>
      <w:r>
        <w:rPr>
          <w:rFonts w:ascii="Times New Roman"/>
          <w:b/>
          <w:color w:val="231F20"/>
          <w:spacing w:val="-6"/>
          <w:w w:val="105"/>
          <w:sz w:val="17"/>
        </w:rPr>
        <w:t> </w:t>
      </w:r>
      <w:r>
        <w:rPr>
          <w:rFonts w:ascii="Times New Roman"/>
          <w:b/>
          <w:color w:val="231F20"/>
          <w:w w:val="105"/>
          <w:sz w:val="17"/>
        </w:rPr>
        <w:t>Section</w:t>
      </w:r>
      <w:r>
        <w:rPr>
          <w:rFonts w:ascii="Times New Roman"/>
          <w:b/>
          <w:color w:val="231F20"/>
          <w:spacing w:val="-6"/>
          <w:w w:val="105"/>
          <w:sz w:val="17"/>
        </w:rPr>
        <w:t> </w:t>
      </w:r>
      <w:r>
        <w:rPr>
          <w:rFonts w:ascii="Times New Roman"/>
          <w:b/>
          <w:color w:val="231F20"/>
          <w:w w:val="105"/>
          <w:sz w:val="17"/>
        </w:rPr>
        <w:t>Executive</w:t>
      </w:r>
      <w:r>
        <w:rPr>
          <w:rFonts w:ascii="Times New Roman"/>
          <w:b/>
          <w:color w:val="231F20"/>
          <w:spacing w:val="-6"/>
          <w:w w:val="105"/>
          <w:sz w:val="17"/>
        </w:rPr>
        <w:t> </w:t>
      </w:r>
      <w:r>
        <w:rPr>
          <w:rFonts w:ascii="Times New Roman"/>
          <w:b/>
          <w:color w:val="231F20"/>
          <w:w w:val="105"/>
          <w:sz w:val="17"/>
        </w:rPr>
        <w:t>Council Meeting (all</w:t>
      </w:r>
      <w:r>
        <w:rPr>
          <w:rFonts w:ascii="Times New Roman"/>
          <w:b/>
          <w:color w:val="231F20"/>
          <w:spacing w:val="-3"/>
          <w:w w:val="105"/>
          <w:sz w:val="17"/>
        </w:rPr>
        <w:t> </w:t>
      </w:r>
      <w:r>
        <w:rPr>
          <w:rFonts w:ascii="Times New Roman"/>
          <w:b/>
          <w:color w:val="231F20"/>
          <w:w w:val="105"/>
          <w:sz w:val="17"/>
        </w:rPr>
        <w:t>invited)</w:t>
      </w:r>
    </w:p>
    <w:p>
      <w:pPr>
        <w:spacing w:before="79"/>
        <w:ind w:left="839" w:right="0" w:firstLine="0"/>
        <w:jc w:val="left"/>
        <w:rPr>
          <w:rFonts w:ascii="Times New Roman" w:hAnsi="Times New Roman"/>
          <w:sz w:val="17"/>
        </w:rPr>
      </w:pPr>
      <w:r>
        <w:rPr>
          <w:rFonts w:ascii="Times New Roman" w:hAnsi="Times New Roman"/>
          <w:color w:val="231F20"/>
          <w:w w:val="105"/>
          <w:sz w:val="17"/>
        </w:rPr>
        <w:t>6:00 p.m. – 6:30</w:t>
      </w:r>
      <w:r>
        <w:rPr>
          <w:rFonts w:ascii="Times New Roman" w:hAnsi="Times New Roman"/>
          <w:color w:val="231F20"/>
          <w:spacing w:val="-11"/>
          <w:w w:val="105"/>
          <w:sz w:val="17"/>
        </w:rPr>
        <w:t> </w:t>
      </w:r>
      <w:r>
        <w:rPr>
          <w:rFonts w:ascii="Times New Roman" w:hAnsi="Times New Roman"/>
          <w:color w:val="231F20"/>
          <w:w w:val="105"/>
          <w:sz w:val="17"/>
        </w:rPr>
        <w:t>p.m.</w:t>
      </w:r>
    </w:p>
    <w:p>
      <w:pPr>
        <w:spacing w:before="18"/>
        <w:ind w:left="839" w:right="0" w:firstLine="0"/>
        <w:jc w:val="left"/>
        <w:rPr>
          <w:rFonts w:ascii="Times New Roman"/>
          <w:b/>
          <w:sz w:val="17"/>
        </w:rPr>
      </w:pPr>
      <w:r>
        <w:rPr>
          <w:rFonts w:ascii="Times New Roman"/>
          <w:b/>
          <w:color w:val="231F20"/>
          <w:w w:val="105"/>
          <w:sz w:val="17"/>
        </w:rPr>
        <w:t>Reception (included in registration fee)</w:t>
      </w:r>
    </w:p>
    <w:p>
      <w:pPr>
        <w:spacing w:before="97"/>
        <w:ind w:left="839" w:right="0" w:firstLine="0"/>
        <w:jc w:val="left"/>
        <w:rPr>
          <w:rFonts w:ascii="Times New Roman" w:hAnsi="Times New Roman"/>
          <w:sz w:val="17"/>
        </w:rPr>
      </w:pPr>
      <w:r>
        <w:rPr>
          <w:rFonts w:ascii="Times New Roman" w:hAnsi="Times New Roman"/>
          <w:color w:val="231F20"/>
          <w:w w:val="105"/>
          <w:sz w:val="17"/>
        </w:rPr>
        <w:t>6:30 p.m. – 8:30 p.m.</w:t>
      </w:r>
    </w:p>
    <w:p>
      <w:pPr>
        <w:spacing w:before="17"/>
        <w:ind w:left="839" w:right="0" w:firstLine="0"/>
        <w:jc w:val="left"/>
        <w:rPr>
          <w:rFonts w:ascii="Times New Roman"/>
          <w:b/>
          <w:sz w:val="17"/>
        </w:rPr>
      </w:pPr>
      <w:r>
        <w:rPr>
          <w:rFonts w:ascii="Times New Roman"/>
          <w:b/>
          <w:color w:val="231F20"/>
          <w:w w:val="105"/>
          <w:sz w:val="17"/>
        </w:rPr>
        <w:t>Dinner (included in registration fee)</w:t>
      </w:r>
    </w:p>
    <w:p>
      <w:pPr>
        <w:spacing w:before="100"/>
        <w:ind w:left="346" w:right="0" w:firstLine="0"/>
        <w:jc w:val="left"/>
        <w:rPr>
          <w:rFonts w:ascii="Times New Roman"/>
          <w:b/>
          <w:sz w:val="23"/>
        </w:rPr>
      </w:pPr>
      <w:r>
        <w:rPr/>
        <w:br w:type="column"/>
      </w:r>
      <w:r>
        <w:rPr>
          <w:rFonts w:ascii="Times New Roman"/>
          <w:b/>
          <w:color w:val="231F20"/>
          <w:w w:val="105"/>
          <w:sz w:val="23"/>
          <w:u w:val="single" w:color="231F20"/>
        </w:rPr>
        <w:t>Saturday, April 13, 2019</w:t>
      </w:r>
    </w:p>
    <w:p>
      <w:pPr>
        <w:spacing w:before="84"/>
        <w:ind w:left="346" w:right="0" w:firstLine="0"/>
        <w:jc w:val="left"/>
        <w:rPr>
          <w:rFonts w:ascii="Times New Roman" w:hAnsi="Times New Roman"/>
          <w:sz w:val="17"/>
        </w:rPr>
      </w:pPr>
      <w:r>
        <w:rPr>
          <w:rFonts w:ascii="Times New Roman" w:hAnsi="Times New Roman"/>
          <w:color w:val="231F20"/>
          <w:w w:val="105"/>
          <w:sz w:val="17"/>
        </w:rPr>
        <w:t>8:25 a.m. – 8:30 a.m.</w:t>
      </w:r>
    </w:p>
    <w:p>
      <w:pPr>
        <w:spacing w:before="18"/>
        <w:ind w:left="346" w:right="0" w:firstLine="0"/>
        <w:jc w:val="left"/>
        <w:rPr>
          <w:rFonts w:ascii="Times New Roman"/>
          <w:b/>
          <w:sz w:val="17"/>
        </w:rPr>
      </w:pPr>
      <w:r>
        <w:rPr>
          <w:rFonts w:ascii="Times New Roman"/>
          <w:b/>
          <w:color w:val="231F20"/>
          <w:w w:val="105"/>
          <w:sz w:val="17"/>
        </w:rPr>
        <w:t>Welcome and Introductory Remarks</w:t>
      </w:r>
    </w:p>
    <w:p>
      <w:pPr>
        <w:spacing w:line="261" w:lineRule="auto" w:before="18"/>
        <w:ind w:left="346" w:right="1198" w:firstLine="0"/>
        <w:jc w:val="left"/>
        <w:rPr>
          <w:rFonts w:ascii="Times New Roman" w:hAnsi="Times New Roman"/>
          <w:i/>
          <w:sz w:val="17"/>
        </w:rPr>
      </w:pPr>
      <w:r>
        <w:rPr>
          <w:rFonts w:ascii="Times New Roman" w:hAnsi="Times New Roman"/>
          <w:i/>
          <w:color w:val="231F20"/>
          <w:w w:val="105"/>
          <w:sz w:val="17"/>
        </w:rPr>
        <w:t>Cynthia Sass, Sass Law Firm, Tampa – Program Co-Chair </w:t>
      </w:r>
      <w:r>
        <w:rPr>
          <w:rFonts w:ascii="Times New Roman" w:hAnsi="Times New Roman"/>
          <w:i/>
          <w:color w:val="231F20"/>
          <w:w w:val="105"/>
          <w:sz w:val="17"/>
        </w:rPr>
        <w:t>Gregory A. Hearing, Thompson, Sizemore, Gonzalez &amp;</w:t>
      </w:r>
    </w:p>
    <w:p>
      <w:pPr>
        <w:spacing w:before="0"/>
        <w:ind w:left="523" w:right="0" w:firstLine="0"/>
        <w:jc w:val="left"/>
        <w:rPr>
          <w:rFonts w:ascii="Times New Roman" w:hAnsi="Times New Roman"/>
          <w:i/>
          <w:sz w:val="17"/>
        </w:rPr>
      </w:pPr>
      <w:r>
        <w:rPr>
          <w:rFonts w:ascii="Times New Roman" w:hAnsi="Times New Roman"/>
          <w:i/>
          <w:color w:val="231F20"/>
          <w:w w:val="105"/>
          <w:sz w:val="17"/>
        </w:rPr>
        <w:t>Hearing, P.A., Tampa – Program Co-Chair</w:t>
      </w:r>
    </w:p>
    <w:p>
      <w:pPr>
        <w:spacing w:before="97"/>
        <w:ind w:left="346" w:right="0" w:firstLine="0"/>
        <w:jc w:val="left"/>
        <w:rPr>
          <w:rFonts w:ascii="Times New Roman" w:hAnsi="Times New Roman"/>
          <w:sz w:val="17"/>
        </w:rPr>
      </w:pPr>
      <w:r>
        <w:rPr>
          <w:rFonts w:ascii="Times New Roman" w:hAnsi="Times New Roman"/>
          <w:color w:val="231F20"/>
          <w:w w:val="105"/>
          <w:sz w:val="17"/>
        </w:rPr>
        <w:t>8:30 a.m. – 9:30 a.m.</w:t>
      </w:r>
    </w:p>
    <w:p>
      <w:pPr>
        <w:spacing w:before="17"/>
        <w:ind w:left="346" w:right="0" w:firstLine="0"/>
        <w:jc w:val="left"/>
        <w:rPr>
          <w:rFonts w:ascii="Times New Roman"/>
          <w:b/>
          <w:sz w:val="17"/>
        </w:rPr>
      </w:pPr>
      <w:r>
        <w:rPr>
          <w:rFonts w:ascii="Times New Roman"/>
          <w:b/>
          <w:color w:val="231F20"/>
          <w:w w:val="105"/>
          <w:sz w:val="17"/>
        </w:rPr>
        <w:t>Supreme Court and Agencies Update</w:t>
      </w:r>
    </w:p>
    <w:p>
      <w:pPr>
        <w:spacing w:line="261" w:lineRule="auto" w:before="18"/>
        <w:ind w:left="523" w:right="2234" w:hanging="178"/>
        <w:jc w:val="left"/>
        <w:rPr>
          <w:rFonts w:ascii="Times New Roman"/>
          <w:i/>
          <w:sz w:val="17"/>
        </w:rPr>
      </w:pPr>
      <w:r>
        <w:rPr>
          <w:rFonts w:ascii="Times New Roman"/>
          <w:i/>
          <w:color w:val="231F20"/>
          <w:w w:val="105"/>
          <w:sz w:val="17"/>
        </w:rPr>
        <w:t>Tammy McCutchen, Littler Mendelson, P.C., </w:t>
      </w:r>
      <w:r>
        <w:rPr>
          <w:rFonts w:ascii="Times New Roman"/>
          <w:i/>
          <w:color w:val="231F20"/>
          <w:w w:val="105"/>
          <w:sz w:val="17"/>
        </w:rPr>
        <w:t>Washington, D.C.</w:t>
      </w:r>
    </w:p>
    <w:p>
      <w:pPr>
        <w:spacing w:before="79"/>
        <w:ind w:left="346" w:right="0" w:firstLine="0"/>
        <w:jc w:val="left"/>
        <w:rPr>
          <w:rFonts w:ascii="Times New Roman" w:hAnsi="Times New Roman"/>
          <w:sz w:val="17"/>
        </w:rPr>
      </w:pPr>
      <w:r>
        <w:rPr>
          <w:rFonts w:ascii="Times New Roman" w:hAnsi="Times New Roman"/>
          <w:color w:val="231F20"/>
          <w:w w:val="105"/>
          <w:sz w:val="17"/>
        </w:rPr>
        <w:t>9:30 a.m. – 10:30 a.m.</w:t>
      </w:r>
    </w:p>
    <w:p>
      <w:pPr>
        <w:spacing w:before="18"/>
        <w:ind w:left="346" w:right="0" w:firstLine="0"/>
        <w:jc w:val="left"/>
        <w:rPr>
          <w:rFonts w:ascii="Times New Roman"/>
          <w:b/>
          <w:sz w:val="17"/>
        </w:rPr>
      </w:pPr>
      <w:r>
        <w:rPr>
          <w:rFonts w:ascii="Times New Roman"/>
          <w:b/>
          <w:color w:val="231F20"/>
          <w:w w:val="105"/>
          <w:sz w:val="17"/>
        </w:rPr>
        <w:t>PERC &amp; NLRB Update</w:t>
      </w:r>
    </w:p>
    <w:p>
      <w:pPr>
        <w:spacing w:line="261" w:lineRule="auto" w:before="18"/>
        <w:ind w:left="523" w:right="1237" w:hanging="178"/>
        <w:jc w:val="left"/>
        <w:rPr>
          <w:rFonts w:ascii="Times New Roman"/>
          <w:i/>
          <w:sz w:val="17"/>
        </w:rPr>
      </w:pPr>
      <w:r>
        <w:rPr>
          <w:rFonts w:ascii="Times New Roman"/>
          <w:i/>
          <w:color w:val="231F20"/>
          <w:w w:val="105"/>
          <w:sz w:val="17"/>
        </w:rPr>
        <w:t>Donald D. Slesnick, Law Offices of Slesnick &amp; Casey LLP, </w:t>
      </w:r>
      <w:r>
        <w:rPr>
          <w:rFonts w:ascii="Times New Roman"/>
          <w:i/>
          <w:color w:val="231F20"/>
          <w:w w:val="105"/>
          <w:sz w:val="17"/>
        </w:rPr>
        <w:t>Coral Gables</w:t>
      </w:r>
    </w:p>
    <w:p>
      <w:pPr>
        <w:spacing w:line="261" w:lineRule="auto" w:before="0"/>
        <w:ind w:left="523" w:right="1198" w:hanging="178"/>
        <w:jc w:val="left"/>
        <w:rPr>
          <w:rFonts w:ascii="Times New Roman"/>
          <w:i/>
          <w:sz w:val="17"/>
        </w:rPr>
      </w:pPr>
      <w:r>
        <w:rPr>
          <w:rFonts w:ascii="Times New Roman"/>
          <w:i/>
          <w:color w:val="231F20"/>
          <w:w w:val="105"/>
          <w:sz w:val="17"/>
        </w:rPr>
        <w:t>Robert S. Turk, Stearns Weaver Miller Weissler Alhadeff &amp; </w:t>
      </w:r>
      <w:r>
        <w:rPr>
          <w:rFonts w:ascii="Times New Roman"/>
          <w:i/>
          <w:color w:val="231F20"/>
          <w:w w:val="105"/>
          <w:sz w:val="17"/>
        </w:rPr>
        <w:t>Sitterson, Miami</w:t>
      </w:r>
    </w:p>
    <w:p>
      <w:pPr>
        <w:spacing w:before="79"/>
        <w:ind w:left="346" w:right="0" w:firstLine="0"/>
        <w:jc w:val="left"/>
        <w:rPr>
          <w:rFonts w:ascii="Times New Roman" w:hAnsi="Times New Roman"/>
          <w:sz w:val="17"/>
        </w:rPr>
      </w:pPr>
      <w:r>
        <w:rPr>
          <w:rFonts w:ascii="Times New Roman" w:hAnsi="Times New Roman"/>
          <w:color w:val="231F20"/>
          <w:w w:val="105"/>
          <w:sz w:val="17"/>
        </w:rPr>
        <w:t>10:30 a.m. – 10:45 a.m.</w:t>
      </w:r>
    </w:p>
    <w:p>
      <w:pPr>
        <w:spacing w:before="18"/>
        <w:ind w:left="346" w:right="0" w:firstLine="0"/>
        <w:jc w:val="left"/>
        <w:rPr>
          <w:rFonts w:ascii="Times New Roman"/>
          <w:b/>
          <w:sz w:val="17"/>
        </w:rPr>
      </w:pPr>
      <w:r>
        <w:rPr>
          <w:rFonts w:ascii="Times New Roman"/>
          <w:b/>
          <w:color w:val="231F20"/>
          <w:w w:val="105"/>
          <w:sz w:val="17"/>
        </w:rPr>
        <w:t>Break</w:t>
      </w:r>
    </w:p>
    <w:p>
      <w:pPr>
        <w:spacing w:before="97"/>
        <w:ind w:left="346" w:right="0" w:firstLine="0"/>
        <w:jc w:val="left"/>
        <w:rPr>
          <w:rFonts w:ascii="Times New Roman" w:hAnsi="Times New Roman"/>
          <w:sz w:val="17"/>
        </w:rPr>
      </w:pPr>
      <w:r>
        <w:rPr>
          <w:rFonts w:ascii="Times New Roman" w:hAnsi="Times New Roman"/>
          <w:color w:val="231F20"/>
          <w:w w:val="105"/>
          <w:sz w:val="17"/>
        </w:rPr>
        <w:t>10:45 a.m. – 11:30 a.m.</w:t>
      </w:r>
    </w:p>
    <w:p>
      <w:pPr>
        <w:spacing w:line="261" w:lineRule="auto" w:before="17"/>
        <w:ind w:left="346" w:right="1181" w:firstLine="0"/>
        <w:jc w:val="left"/>
        <w:rPr>
          <w:rFonts w:ascii="Times New Roman" w:hAnsi="Times New Roman"/>
          <w:b/>
          <w:sz w:val="17"/>
        </w:rPr>
      </w:pPr>
      <w:r>
        <w:rPr>
          <w:rFonts w:ascii="Times New Roman" w:hAnsi="Times New Roman"/>
          <w:b/>
          <w:color w:val="231F20"/>
          <w:w w:val="105"/>
          <w:sz w:val="17"/>
        </w:rPr>
        <w:t>A View From the Bench – Professionalism in Labor and Employment Law Cases</w:t>
      </w:r>
    </w:p>
    <w:p>
      <w:pPr>
        <w:spacing w:line="261" w:lineRule="auto" w:before="1"/>
        <w:ind w:left="523" w:right="1198" w:hanging="178"/>
        <w:jc w:val="left"/>
        <w:rPr>
          <w:rFonts w:ascii="Times New Roman"/>
          <w:i/>
          <w:sz w:val="17"/>
        </w:rPr>
      </w:pPr>
      <w:r>
        <w:rPr>
          <w:rFonts w:ascii="Times New Roman"/>
          <w:i/>
          <w:color w:val="231F20"/>
          <w:w w:val="105"/>
          <w:sz w:val="17"/>
        </w:rPr>
        <w:t>The Honorable Anthony Porcelli, United States Magistrate </w:t>
      </w:r>
      <w:r>
        <w:rPr>
          <w:rFonts w:ascii="Times New Roman"/>
          <w:i/>
          <w:color w:val="231F20"/>
          <w:w w:val="105"/>
          <w:sz w:val="17"/>
        </w:rPr>
        <w:t>Judge, Middle District of Florida, Tampa Division</w:t>
      </w:r>
    </w:p>
    <w:p>
      <w:pPr>
        <w:spacing w:before="79"/>
        <w:ind w:left="346" w:right="0" w:firstLine="0"/>
        <w:jc w:val="left"/>
        <w:rPr>
          <w:rFonts w:ascii="Times New Roman" w:hAnsi="Times New Roman"/>
          <w:sz w:val="17"/>
        </w:rPr>
      </w:pPr>
      <w:r>
        <w:rPr>
          <w:rFonts w:ascii="Times New Roman" w:hAnsi="Times New Roman"/>
          <w:color w:val="231F20"/>
          <w:w w:val="105"/>
          <w:sz w:val="17"/>
        </w:rPr>
        <w:t>11:30 a.m. – 12:30 p.m.</w:t>
      </w:r>
    </w:p>
    <w:p>
      <w:pPr>
        <w:spacing w:before="17"/>
        <w:ind w:left="346" w:right="0" w:firstLine="0"/>
        <w:jc w:val="left"/>
        <w:rPr>
          <w:rFonts w:ascii="Times New Roman"/>
          <w:b/>
          <w:sz w:val="17"/>
        </w:rPr>
      </w:pPr>
      <w:r>
        <w:rPr>
          <w:rFonts w:ascii="Times New Roman"/>
          <w:b/>
          <w:color w:val="231F20"/>
          <w:w w:val="105"/>
          <w:sz w:val="17"/>
        </w:rPr>
        <w:t>OSHA &amp; HIPAA Update</w:t>
      </w:r>
    </w:p>
    <w:p>
      <w:pPr>
        <w:spacing w:before="18"/>
        <w:ind w:left="346" w:right="0" w:firstLine="0"/>
        <w:jc w:val="left"/>
        <w:rPr>
          <w:rFonts w:ascii="Times New Roman"/>
          <w:i/>
          <w:sz w:val="17"/>
        </w:rPr>
      </w:pPr>
      <w:r>
        <w:rPr/>
        <w:pict>
          <v:group style="position:absolute;margin-left:312.41629pt;margin-top:22.032064pt;width:203.35pt;height:74.350pt;mso-position-horizontal-relative:page;mso-position-vertical-relative:paragraph;z-index:251672576" coordorigin="6248,441" coordsize="4067,1487">
            <v:shape style="position:absolute;left:6258;top:695;width:4048;height:1232" type="#_x0000_t202" filled="true" fillcolor="#ffffff" stroked="false">
              <v:textbox inset="0,0,0,0">
                <w:txbxContent>
                  <w:p>
                    <w:pPr>
                      <w:spacing w:before="110"/>
                      <w:ind w:left="860" w:right="860" w:firstLine="0"/>
                      <w:jc w:val="center"/>
                      <w:rPr>
                        <w:b/>
                        <w:sz w:val="15"/>
                      </w:rPr>
                    </w:pPr>
                    <w:r>
                      <w:rPr>
                        <w:b/>
                        <w:color w:val="231F20"/>
                        <w:w w:val="105"/>
                        <w:sz w:val="15"/>
                      </w:rPr>
                      <w:t>CLER PROGRAM</w:t>
                    </w:r>
                  </w:p>
                  <w:p>
                    <w:pPr>
                      <w:spacing w:line="159" w:lineRule="exact" w:before="54"/>
                      <w:ind w:left="860" w:right="860" w:firstLine="0"/>
                      <w:jc w:val="center"/>
                      <w:rPr>
                        <w:sz w:val="14"/>
                      </w:rPr>
                    </w:pPr>
                    <w:r>
                      <w:rPr>
                        <w:color w:val="231F20"/>
                        <w:sz w:val="14"/>
                      </w:rPr>
                      <w:t>General: 9 hours</w:t>
                    </w:r>
                  </w:p>
                  <w:p>
                    <w:pPr>
                      <w:spacing w:line="159" w:lineRule="exact" w:before="0"/>
                      <w:ind w:left="860" w:right="860" w:firstLine="0"/>
                      <w:jc w:val="center"/>
                      <w:rPr>
                        <w:sz w:val="14"/>
                      </w:rPr>
                    </w:pPr>
                    <w:r>
                      <w:rPr>
                        <w:color w:val="231F20"/>
                        <w:sz w:val="14"/>
                      </w:rPr>
                      <w:t>Ethics: 1 hour</w:t>
                    </w:r>
                  </w:p>
                  <w:p>
                    <w:pPr>
                      <w:spacing w:before="101"/>
                      <w:ind w:left="860" w:right="860" w:firstLine="0"/>
                      <w:jc w:val="center"/>
                      <w:rPr>
                        <w:b/>
                        <w:sz w:val="15"/>
                      </w:rPr>
                    </w:pPr>
                    <w:r>
                      <w:rPr>
                        <w:b/>
                        <w:color w:val="231F20"/>
                        <w:w w:val="105"/>
                        <w:sz w:val="15"/>
                      </w:rPr>
                      <w:t>CERTIFICATION PROGRAM</w:t>
                    </w:r>
                  </w:p>
                  <w:p>
                    <w:pPr>
                      <w:spacing w:before="54"/>
                      <w:ind w:left="860" w:right="860" w:firstLine="0"/>
                      <w:jc w:val="center"/>
                      <w:rPr>
                        <w:sz w:val="14"/>
                      </w:rPr>
                    </w:pPr>
                    <w:r>
                      <w:rPr>
                        <w:color w:val="231F20"/>
                        <w:sz w:val="14"/>
                      </w:rPr>
                      <w:t>Labor and Employment Law: 9 hours</w:t>
                    </w:r>
                  </w:p>
                </w:txbxContent>
              </v:textbox>
              <v:fill type="solid"/>
              <w10:wrap type="none"/>
            </v:shape>
            <v:shape style="position:absolute;left:6248;top:440;width:4067;height:256" type="#_x0000_t202" filled="true" fillcolor="#231f20" stroked="false">
              <v:textbox inset="0,0,0,0">
                <w:txbxContent>
                  <w:p>
                    <w:pPr>
                      <w:spacing w:before="36"/>
                      <w:ind w:left="1418" w:right="1418" w:firstLine="0"/>
                      <w:jc w:val="center"/>
                      <w:rPr>
                        <w:b/>
                        <w:sz w:val="17"/>
                      </w:rPr>
                    </w:pPr>
                    <w:r>
                      <w:rPr>
                        <w:b/>
                        <w:color w:val="FFFFFF"/>
                        <w:w w:val="105"/>
                        <w:sz w:val="17"/>
                      </w:rPr>
                      <w:t>CLE CREDITS</w:t>
                    </w:r>
                  </w:p>
                </w:txbxContent>
              </v:textbox>
              <v:fill type="solid"/>
              <w10:wrap type="none"/>
            </v:shape>
            <w10:wrap type="none"/>
          </v:group>
        </w:pict>
      </w:r>
      <w:r>
        <w:rPr>
          <w:rFonts w:ascii="Times New Roman"/>
          <w:i/>
          <w:color w:val="231F20"/>
          <w:w w:val="105"/>
          <w:sz w:val="17"/>
        </w:rPr>
        <w:t>Eric Holshouser, Rogers Towers, P.A., Jacksonville</w:t>
      </w:r>
    </w:p>
    <w:p>
      <w:pPr>
        <w:spacing w:after="0"/>
        <w:jc w:val="left"/>
        <w:rPr>
          <w:rFonts w:ascii="Times New Roman"/>
          <w:sz w:val="17"/>
        </w:rPr>
        <w:sectPr>
          <w:type w:val="continuous"/>
          <w:pgSz w:w="12240" w:h="15840"/>
          <w:pgMar w:top="500" w:bottom="280" w:left="720" w:right="540"/>
          <w:cols w:num="2" w:equalWidth="0">
            <w:col w:w="5133" w:space="40"/>
            <w:col w:w="5807"/>
          </w:cols>
        </w:sectPr>
      </w:pPr>
    </w:p>
    <w:p>
      <w:pPr>
        <w:pStyle w:val="BodyText"/>
        <w:rPr>
          <w:rFonts w:ascii="Times New Roman"/>
          <w:i/>
        </w:rPr>
      </w:pPr>
      <w:r>
        <w:rPr/>
        <w:pict>
          <v:group style="position:absolute;margin-left:42.438pt;margin-top:49pt;width:527.15pt;height:690pt;mso-position-horizontal-relative:page;mso-position-vertical-relative:page;z-index:-253180928" coordorigin="849,980" coordsize="10543,13800">
            <v:rect style="position:absolute;left:848;top:980;width:10543;height:13800" filled="true" fillcolor="#003b5e" stroked="false">
              <v:fill type="solid"/>
            </v:rect>
            <v:rect style="position:absolute;left:1194;top:1325;width:9852;height:13110" filled="false" stroked="true" strokeweight=".987pt" strokecolor="#d2232a">
              <v:stroke dashstyle="solid"/>
            </v:rect>
            <v:rect style="position:absolute;left:1292;top:1438;width:9655;height:12912" filled="true" fillcolor="#ffffff" stroked="false">
              <v:fill type="solid"/>
            </v:rect>
            <v:rect style="position:absolute;left:1292;top:1438;width:9655;height:12912" filled="false" stroked="true" strokeweight=".987pt" strokecolor="#003b5e">
              <v:stroke dashstyle="solid"/>
            </v:rect>
            <v:shape style="position:absolute;left:1302;top:2914;width:9635;height:60" coordorigin="1303,2914" coordsize="9635,60" path="m7358,2973l10937,2973m1303,2914l2612,2914e" filled="false" stroked="true" strokeweight="1.539pt" strokecolor="#4b9173">
              <v:path arrowok="t"/>
              <v:stroke dashstyle="solid"/>
            </v:shape>
            <v:shape style="position:absolute;left:1302;top:1419;width:9635;height:1403" coordorigin="1303,1419" coordsize="9635,1403" path="m2612,1419l1303,1419,1303,2822,2612,2822,2612,1419m10937,1439l6806,1439,6806,2822,10937,2822,10937,1439e" filled="true" fillcolor="#4b9173" stroked="false">
              <v:path arrowok="t"/>
              <v:fill type="solid"/>
            </v:shape>
            <v:shape style="position:absolute;left:2501;top:1435;width:4857;height:1395" coordorigin="2501,1436" coordsize="4857,1395" path="m7159,1436l2501,1436,2501,2631,2504,2746,2526,2806,2585,2827,2700,2830,7358,2830,7358,1635,7355,1520,7333,1461,7274,1439,7159,1436xe" filled="true" fillcolor="#ffffff" stroked="false">
              <v:path arrowok="t"/>
              <v:fill type="solid"/>
            </v:shape>
            <v:shape style="position:absolute;left:8242;top:1419;width:1692;height:1755" coordorigin="8242,1419" coordsize="1692,1755" path="m9934,2937l9083,2937,9934,3174,9934,2937xm9934,1419l8242,1419,8242,3174,9083,2937,9934,2937,9934,1419xe" filled="true" fillcolor="#d2232a" stroked="false">
              <v:path arrowok="t"/>
              <v:fill type="solid"/>
            </v:shape>
            <v:shape style="position:absolute;left:8294;top:1419;width:1586;height:1686" coordorigin="8295,1419" coordsize="1586,1686" path="m8295,1419l8295,3104,8369,3083,8442,3063,8516,3042,8590,3021,8663,3000,9065,2887,9076,2884,9083,2882,9090,2884,9101,2887,9203,2915,9278,2936,9353,2957,9429,2978,9504,2999,9580,3020,9655,3041,9730,3062,9806,3083,9881,3104,9881,1419e" filled="false" stroked="true" strokeweight="1.315pt" strokecolor="#231f20">
              <v:path arrowok="t"/>
              <v:stroke dashstyle="solid"/>
            </v:shape>
            <v:shape style="position:absolute;left:8242;top:1419;width:1692;height:1755" coordorigin="8242,1419" coordsize="1692,1755" path="m8242,1419l8242,3139,8242,3174,8276,3164,8678,3051,9080,2938,9081,2937,9082,2937,9083,2937,9084,2937,9086,2937,9087,2938,9189,2966,9900,3165,9934,3174,9934,3139,9934,1419e" filled="false" stroked="true" strokeweight="1.315pt" strokecolor="#231f20">
              <v:path arrowok="t"/>
              <v:stroke dashstyle="solid"/>
            </v:shape>
            <v:shape style="position:absolute;left:3055;top:1523;width:1276;height:1299" coordorigin="3055,1523" coordsize="1276,1299" path="m4166,1523l3055,1523,3055,2626,3058,2739,3078,2797,3133,2818,3239,2821,4327,2821,4327,1707,4331,1626,4315,1580,4265,1552,4166,1523xe" filled="true" fillcolor="#04324e" stroked="false">
              <v:path arrowok="t"/>
              <v:fill type="solid"/>
            </v:shape>
            <v:line style="position:absolute" from="3314,2914" to="4433,2914" stroked="true" strokeweight="1.5pt" strokecolor="#4aae56">
              <v:stroke dashstyle="solid"/>
            </v:line>
            <v:line style="position:absolute" from="4418,1845" to="4418,2899" stroked="true" strokeweight="1.501pt" strokecolor="#4aae56">
              <v:stroke dashstyle="solid"/>
            </v:line>
            <v:shape style="position:absolute;left:3800;top:2137;width:395;height:138" type="#_x0000_t75" stroked="false">
              <v:imagedata r:id="rId12" o:title=""/>
            </v:shape>
            <v:shape style="position:absolute;left:3306;top:2330;width:528;height:143" coordorigin="3307,2331" coordsize="528,143" path="m3415,2333l3307,2333,3307,2470,3344,2470,3344,2422,3408,2422,3408,2390,3344,2390,3344,2367,3415,2367,3415,2333m3538,2437l3473,2437,3473,2333,3435,2333,3435,2470,3538,2470,3538,2437m3694,2402l3689,2374,3683,2365,3674,2351,3656,2340,3656,2402,3654,2416,3647,2428,3636,2436,3622,2439,3608,2436,3597,2428,3590,2416,3588,2402,3588,2402,3590,2387,3597,2376,3608,2368,3622,2365,3636,2368,3647,2376,3654,2388,3656,2402,3656,2402,3656,2340,3651,2336,3622,2331,3593,2336,3570,2352,3555,2374,3549,2402,3549,2402,3555,2430,3570,2453,3593,2468,3622,2473,3651,2468,3674,2452,3683,2439,3689,2430,3694,2402,3694,2402m3834,2471l3806,2429,3802,2423,3813,2416,3822,2407,3826,2399,3828,2395,3830,2381,3829,2366,3826,2356,3818,2348,3810,2342,3800,2337,3792,2335,3792,2372,3792,2393,3785,2399,3747,2399,3747,2366,3784,2366,3792,2372,3792,2335,3788,2334,3774,2333,3710,2333,3710,2471,3747,2471,3747,2429,3764,2429,3791,2471,3834,2471e" filled="true" fillcolor="#ffffff" stroked="false">
              <v:path arrowok="t"/>
              <v:fill type="solid"/>
            </v:shape>
            <v:line style="position:absolute" from="3872,2333" to="3872,2470" stroked="true" strokeweight="1.877pt" strokecolor="#ffffff">
              <v:stroke dashstyle="solid"/>
            </v:line>
            <v:shape style="position:absolute;left:3919;top:2332;width:282;height:139" coordorigin="3919,2332" coordsize="282,139" path="m4047,2401l4042,2374,4037,2367,4027,2352,4009,2342,4009,2402,4006,2417,3999,2428,3987,2434,3972,2437,3956,2437,3956,2367,3972,2367,3987,2369,3999,2376,4006,2387,4009,2401,4009,2402,4009,2342,4003,2338,3971,2333,3919,2333,3919,2470,3970,2470,4003,2465,4027,2451,4037,2437,4042,2429,4047,2402,4047,2401m4200,2470l4190,2446,4178,2416,4162,2377,4143,2332,4140,2332,4140,2416,4110,2416,4125,2377,4140,2416,4140,2332,4107,2332,4050,2470,4089,2470,4099,2446,4151,2446,4160,2470,4200,2470e" filled="true" fillcolor="#ffffff" stroked="false">
              <v:path arrowok="t"/>
              <v:fill type="solid"/>
            </v:shape>
            <v:shape style="position:absolute;left:3780;top:2528;width:419;height:139" type="#_x0000_t75" stroked="false">
              <v:imagedata r:id="rId13" o:title=""/>
            </v:shape>
            <v:shape style="position:absolute;left:4591;top:1964;width:1835;height:687" coordorigin="4591,1965" coordsize="1835,687" path="m5214,2503l5189,2485,5078,2404,5048,2437,5016,2463,4978,2479,4932,2485,4869,2471,4820,2434,4788,2378,4777,2308,4777,2306,4788,2238,4820,2183,4869,2146,4932,2132,4975,2137,5012,2153,5045,2177,5074,2209,5172,2132,5209,2103,5160,2047,5099,2003,5024,1975,4934,1965,4853,1974,4780,1999,4716,2039,4664,2092,4625,2156,4600,2229,4591,2308,4591,2310,4600,2391,4625,2464,4665,2527,4717,2579,4779,2618,4849,2643,4926,2652,5023,2640,5101,2609,5163,2562,5214,2503m5803,2478l5489,2478,5489,1978,5309,1978,5309,2478,5309,2638,5803,2638,5803,2478m6426,2482l5899,2482,5899,2638,6426,2638,6426,2482e" filled="true" fillcolor="#04324e" stroked="false">
              <v:path arrowok="t"/>
              <v:fill type="solid"/>
            </v:shape>
            <v:line style="position:absolute" from="5899,2430" to="6077,2430" stroked="true" strokeweight="5.2pt" strokecolor="#04324e">
              <v:stroke dashstyle="solid"/>
            </v:line>
            <v:rect style="position:absolute;left:5898;top:2234;width:490;height:144" filled="true" fillcolor="#04324e" stroked="false">
              <v:fill type="solid"/>
            </v:rect>
            <v:line style="position:absolute" from="5899,2184" to="6077,2184" stroked="true" strokeweight="5pt" strokecolor="#04324e">
              <v:stroke dashstyle="solid"/>
            </v:line>
            <v:shape style="position:absolute;left:4591;top:1978;width:1834;height:844" coordorigin="4591,1978" coordsize="1834,844" path="m4661,2808l4652,2799,4646,2805,4640,2809,4616,2809,4605,2797,4606,2766,4616,2754,4639,2754,4646,2758,4652,2764,4660,2754,4660,2754,4653,2747,4644,2742,4630,2742,4615,2745,4602,2753,4594,2766,4591,2781,4591,2782,4594,2797,4602,2810,4615,2818,4630,2821,4644,2821,4653,2816,4660,2809,4661,2808m4748,2781l4745,2766,4738,2754,4737,2753,4734,2751,4734,2797,4724,2809,4694,2809,4683,2797,4683,2766,4694,2754,4724,2754,4734,2766,4734,2797,4734,2751,4725,2745,4709,2742,4693,2745,4680,2753,4672,2766,4672,2766,4669,2781,4669,2782,4672,2797,4680,2810,4693,2818,4709,2821,4725,2818,4737,2809,4738,2809,4745,2797,4745,2796,4748,2782,4748,2781m4830,2743l4817,2743,4817,2796,4794,2765,4777,2743,4764,2743,4764,2820,4778,2820,4778,2765,4819,2820,4830,2820,4830,2796,4830,2743m4906,2743l4845,2743,4845,2755,4869,2755,4869,2820,4882,2820,4882,2755,4906,2755,4906,2743m4934,2743l4921,2743,4921,2820,4934,2820,4934,2743m5020,2743l5007,2743,5007,2796,4984,2765,4967,2743,4954,2743,4954,2820,4967,2820,4967,2765,5009,2820,5020,2820,5020,2796,5020,2743m5104,2743l5090,2743,5090,2801,5083,2809,5059,2809,5052,2801,5052,2743,5039,2743,5039,2787,5041,2802,5047,2813,5058,2819,5071,2821,5084,2819,5095,2813,5097,2809,5101,2802,5103,2787,5104,2743m5136,2743l5123,2743,5123,2820,5136,2820,5136,2743m5222,2743l5209,2743,5209,2796,5185,2765,5168,2743,5156,2743,5156,2820,5169,2820,5169,2765,5211,2820,5222,2820,5222,2796,5222,2743m5309,2777l5277,2777,5277,2789,5296,2789,5296,2803,5292,2807,5285,2809,5262,2809,5252,2797,5252,2766,5263,2754,5286,2754,5292,2757,5298,2762,5305,2754,5306,2752,5299,2745,5291,2742,5277,2742,5262,2745,5249,2753,5241,2766,5238,2781,5238,2782,5241,2797,5249,2810,5261,2818,5278,2821,5291,2821,5302,2816,5309,2809,5309,2809,5309,2777m5412,2808l5372,2808,5372,2743,5359,2743,5359,2820,5412,2820,5412,2808m5483,2808l5439,2808,5439,2787,5477,2787,5477,2775,5439,2775,5439,2755,5482,2755,5482,2743,5426,2743,5426,2820,5483,2820,5483,2808m5566,2777l5534,2777,5534,2789,5553,2789,5553,2803,5548,2807,5542,2809,5519,2809,5509,2797,5509,2766,5520,2754,5543,2754,5549,2757,5555,2762,5562,2754,5563,2752,5555,2745,5547,2742,5534,2742,5518,2745,5506,2753,5498,2766,5495,2781,5495,2782,5498,2797,5506,2810,5518,2818,5534,2821,5548,2821,5558,2816,5566,2809,5566,2809,5566,2777m5656,2820l5648,2801,5643,2789,5629,2759,5629,2758,5629,2789,5603,2789,5616,2759,5629,2789,5629,2758,5622,2742,5610,2742,5577,2820,5590,2820,5598,2801,5634,2801,5642,2820,5656,2820m5722,2808l5682,2808,5682,2743,5669,2743,5669,2820,5722,2820,5722,2808m5825,2808l5782,2808,5782,2787,5820,2787,5820,2775,5782,2775,5782,2755,5824,2755,5824,2743,5768,2743,5768,2820,5825,2820,5825,2808m5909,2781l5906,2766,5899,2755,5898,2754,5895,2752,5895,2766,5895,2797,5885,2808,5854,2808,5854,2755,5885,2755,5895,2766,5895,2752,5885,2746,5869,2743,5841,2743,5841,2820,5869,2820,5885,2817,5898,2809,5899,2808,5906,2797,5909,2781,5909,2781m5989,2743l5976,2743,5976,2801,5968,2809,5945,2809,5937,2801,5937,2743,5924,2743,5924,2787,5926,2802,5933,2813,5943,2819,5956,2821,5970,2819,5980,2813,5982,2809,5987,2802,5989,2787,5989,2743m6073,2808l6065,2799,6058,2805,6052,2809,6028,2809,6018,2797,6018,2766,6028,2754,6052,2754,6058,2758,6064,2764,6072,2754,6073,2754,6065,2747,6057,2742,6043,2742,6027,2745,6015,2753,6007,2766,6004,2781,6004,2782,6007,2797,6015,2810,6027,2818,6042,2821,6057,2821,6065,2816,6072,2809,6073,2808m6160,2820l6152,2801,6147,2789,6133,2759,6133,2758,6133,2789,6107,2789,6120,2759,6133,2789,6133,2758,6126,2742,6114,2742,6081,2820,6094,2820,6102,2801,6138,2801,6146,2820,6160,2820m6219,2743l6158,2743,6158,2755,6182,2755,6182,2820,6195,2820,6195,2755,6219,2755,6219,2743m6247,2743l6234,2743,6234,2820,6247,2820,6247,2743m6343,2781l6340,2766,6333,2754,6332,2753,6329,2751,6329,2797,6319,2809,6289,2809,6278,2797,6278,2766,6288,2754,6319,2754,6329,2766,6329,2797,6329,2751,6320,2745,6304,2742,6288,2745,6275,2753,6267,2766,6267,2766,6264,2781,6264,2782,6267,2797,6275,2810,6288,2818,6303,2821,6320,2818,6332,2809,6333,2809,6340,2797,6340,2796,6343,2782,6343,2781m6421,1978l5899,1978,5899,2134,6421,2134,6421,1978m6425,2743l6412,2743,6412,2796,6389,2765,6372,2743,6359,2743,6359,2820,6372,2820,6372,2765,6414,2820,6425,2820,6425,2796,6425,2743e" filled="true" fillcolor="#04324e" stroked="false">
              <v:path arrowok="t"/>
              <v:fill type="solid"/>
            </v:shape>
            <v:line style="position:absolute" from="6061,5772" to="6061,13565" stroked="true" strokeweight=".987pt" strokecolor="#231f20">
              <v:stroke dashstyle="solid"/>
            </v:line>
            <v:line style="position:absolute" from="1559,5595" to="10562,5595" stroked="true" strokeweight="1.974pt" strokecolor="#231f20">
              <v:stroke dashstyle="solid"/>
            </v:line>
            <v:rect style="position:absolute;left:6248;top:12245;width:4067;height:1271" filled="false" stroked="true" strokeweight=".987pt" strokecolor="#231f20">
              <v:stroke dashstyle="solid"/>
            </v:rect>
            <v:line style="position:absolute" from="8634,2579" to="9582,2579" stroked="true" strokeweight=".987pt" strokecolor="#ffffff">
              <v:stroke dashstyle="solid"/>
            </v:line>
            <w10:wrap type="none"/>
          </v:group>
        </w:pict>
      </w:r>
    </w:p>
    <w:p>
      <w:pPr>
        <w:pStyle w:val="BodyText"/>
        <w:rPr>
          <w:rFonts w:ascii="Times New Roman"/>
          <w:i/>
          <w:sz w:val="17"/>
        </w:rPr>
      </w:pPr>
    </w:p>
    <w:p>
      <w:pPr>
        <w:pStyle w:val="BodyText"/>
        <w:ind w:left="1613"/>
        <w:rPr>
          <w:rFonts w:ascii="Times New Roman"/>
        </w:rPr>
      </w:pPr>
      <w:r>
        <w:rPr>
          <w:rFonts w:ascii="Times New Roman"/>
        </w:rPr>
        <w:pict>
          <v:shape style="width:372.75pt;height:20.150pt;mso-position-horizontal-relative:char;mso-position-vertical-relative:line" type="#_x0000_t202" filled="true" fillcolor="#ee2d2f" stroked="false">
            <w10:anchorlock/>
            <v:textbox inset="0,0,0,0">
              <w:txbxContent>
                <w:p>
                  <w:pPr>
                    <w:spacing w:before="77"/>
                    <w:ind w:left="1807" w:right="0" w:firstLine="0"/>
                    <w:jc w:val="left"/>
                    <w:rPr>
                      <w:b/>
                      <w:sz w:val="23"/>
                    </w:rPr>
                  </w:pPr>
                  <w:hyperlink r:id="rId14">
                    <w:r>
                      <w:rPr>
                        <w:b/>
                        <w:color w:val="FFFFFF"/>
                        <w:w w:val="105"/>
                        <w:sz w:val="23"/>
                      </w:rPr>
                      <w:t>CLICK HERE TO REGISTER NOW!</w:t>
                    </w:r>
                  </w:hyperlink>
                </w:p>
              </w:txbxContent>
            </v:textbox>
            <v:fill type="solid"/>
          </v:shape>
        </w:pict>
      </w:r>
      <w:r>
        <w:rPr>
          <w:rFonts w:ascii="Times New Roman"/>
        </w:rPr>
      </w:r>
    </w:p>
    <w:p>
      <w:pPr>
        <w:spacing w:after="0"/>
        <w:rPr>
          <w:rFonts w:ascii="Times New Roman"/>
        </w:rPr>
        <w:sectPr>
          <w:type w:val="continuous"/>
          <w:pgSz w:w="12240" w:h="15840"/>
          <w:pgMar w:top="500" w:bottom="280" w:left="720" w:right="540"/>
        </w:sectPr>
      </w:pPr>
    </w:p>
    <w:p>
      <w:pPr>
        <w:pStyle w:val="Heading1"/>
        <w:spacing w:line="187" w:lineRule="auto" w:before="191"/>
        <w:ind w:left="613" w:right="792"/>
      </w:pPr>
      <w:bookmarkStart w:name="_bookmark4" w:id="5"/>
      <w:bookmarkEnd w:id="5"/>
      <w:r>
        <w:rPr/>
      </w:r>
      <w:r>
        <w:rPr>
          <w:color w:val="231F20"/>
        </w:rPr>
        <w:t>Is Protection for Florida LGBTQ Employees on the Horizon?</w:t>
      </w:r>
    </w:p>
    <w:p>
      <w:pPr>
        <w:spacing w:before="126"/>
        <w:ind w:left="613" w:right="791" w:firstLine="0"/>
        <w:jc w:val="center"/>
        <w:rPr>
          <w:b/>
          <w:sz w:val="22"/>
        </w:rPr>
      </w:pPr>
      <w:r>
        <w:rPr>
          <w:b/>
          <w:color w:val="231F20"/>
          <w:sz w:val="22"/>
        </w:rPr>
        <w:t>By Aaron W. Tandy, Miami</w:t>
      </w:r>
    </w:p>
    <w:p>
      <w:pPr>
        <w:pStyle w:val="BodyText"/>
        <w:spacing w:before="11"/>
        <w:rPr>
          <w:b/>
          <w:sz w:val="25"/>
        </w:rPr>
      </w:pPr>
    </w:p>
    <w:p>
      <w:pPr>
        <w:spacing w:after="0"/>
        <w:rPr>
          <w:sz w:val="25"/>
        </w:rPr>
        <w:sectPr>
          <w:headerReference w:type="default" r:id="rId15"/>
          <w:footerReference w:type="default" r:id="rId16"/>
          <w:pgSz w:w="12240" w:h="15840"/>
          <w:pgMar w:header="0" w:footer="558" w:top="700" w:bottom="740" w:left="720" w:right="540"/>
          <w:pgNumType w:start="4"/>
        </w:sectPr>
      </w:pPr>
    </w:p>
    <w:p>
      <w:pPr>
        <w:pStyle w:val="BodyText"/>
        <w:spacing w:line="261" w:lineRule="auto" w:before="93"/>
        <w:ind w:left="119" w:right="38" w:firstLine="180"/>
        <w:jc w:val="both"/>
      </w:pPr>
      <w:r>
        <w:rPr/>
        <w:pict>
          <v:group style="position:absolute;margin-left:402pt;margin-top:6.749609pt;width:72pt;height:96pt;mso-position-horizontal-relative:page;mso-position-vertical-relative:paragraph;z-index:251676672" coordorigin="8040,135" coordsize="1440,1920">
            <v:shape style="position:absolute;left:8050;top:145;width:1420;height:1900" type="#_x0000_t75" stroked="false">
              <v:imagedata r:id="rId17" o:title=""/>
            </v:shape>
            <v:rect style="position:absolute;left:8050;top:145;width:1420;height:1900" filled="false" stroked="true" strokeweight="1pt" strokecolor="#231f20">
              <v:stroke dashstyle="solid"/>
            </v:rect>
            <w10:wrap type="none"/>
          </v:group>
        </w:pict>
      </w:r>
      <w:r>
        <w:rPr>
          <w:color w:val="231F20"/>
          <w:spacing w:val="4"/>
        </w:rPr>
        <w:t>Unlike </w:t>
      </w:r>
      <w:r>
        <w:rPr>
          <w:color w:val="231F20"/>
          <w:spacing w:val="3"/>
        </w:rPr>
        <w:t>some </w:t>
      </w:r>
      <w:r>
        <w:rPr>
          <w:color w:val="231F20"/>
          <w:spacing w:val="4"/>
        </w:rPr>
        <w:t>state </w:t>
      </w:r>
      <w:r>
        <w:rPr>
          <w:color w:val="231F20"/>
          <w:spacing w:val="3"/>
        </w:rPr>
        <w:t>laws that spe- </w:t>
      </w:r>
      <w:r>
        <w:rPr>
          <w:color w:val="231F20"/>
        </w:rPr>
        <w:t>cifically prohibit discrimination on the </w:t>
      </w:r>
      <w:r>
        <w:rPr>
          <w:color w:val="231F20"/>
          <w:spacing w:val="3"/>
        </w:rPr>
        <w:t>basis </w:t>
      </w:r>
      <w:r>
        <w:rPr>
          <w:color w:val="231F20"/>
        </w:rPr>
        <w:t>of </w:t>
      </w:r>
      <w:r>
        <w:rPr>
          <w:color w:val="231F20"/>
          <w:spacing w:val="3"/>
        </w:rPr>
        <w:t>sexual orientation,</w:t>
      </w:r>
      <w:r>
        <w:rPr>
          <w:color w:val="231F20"/>
          <w:spacing w:val="3"/>
          <w:position w:val="7"/>
          <w:sz w:val="12"/>
        </w:rPr>
        <w:t>1 </w:t>
      </w:r>
      <w:r>
        <w:rPr>
          <w:color w:val="231F20"/>
        </w:rPr>
        <w:t>neither the Florida Civil Rights Act</w:t>
      </w:r>
      <w:r>
        <w:rPr>
          <w:color w:val="231F20"/>
          <w:position w:val="7"/>
          <w:sz w:val="12"/>
        </w:rPr>
        <w:t>2 </w:t>
      </w:r>
      <w:r>
        <w:rPr>
          <w:color w:val="231F20"/>
        </w:rPr>
        <w:t>(FCRA) nor </w:t>
      </w:r>
      <w:r>
        <w:rPr>
          <w:color w:val="231F20"/>
          <w:spacing w:val="-3"/>
        </w:rPr>
        <w:t>Title </w:t>
      </w:r>
      <w:r>
        <w:rPr>
          <w:color w:val="231F20"/>
        </w:rPr>
        <w:t>VII of the Civil Rights Act of 1964</w:t>
      </w:r>
      <w:r>
        <w:rPr>
          <w:color w:val="231F20"/>
          <w:position w:val="7"/>
          <w:sz w:val="12"/>
        </w:rPr>
        <w:t>3 </w:t>
      </w:r>
      <w:r>
        <w:rPr>
          <w:color w:val="231F20"/>
        </w:rPr>
        <w:t>(Title VII) includes such specific language. Both the FCRA and</w:t>
      </w:r>
      <w:r>
        <w:rPr>
          <w:color w:val="231F20"/>
          <w:spacing w:val="-41"/>
        </w:rPr>
        <w:t> </w:t>
      </w:r>
      <w:r>
        <w:rPr>
          <w:color w:val="231F20"/>
          <w:spacing w:val="-3"/>
        </w:rPr>
        <w:t>Title </w:t>
      </w:r>
      <w:r>
        <w:rPr>
          <w:color w:val="231F20"/>
        </w:rPr>
        <w:t>VII only</w:t>
      </w:r>
      <w:r>
        <w:rPr>
          <w:color w:val="231F20"/>
          <w:spacing w:val="-14"/>
        </w:rPr>
        <w:t> </w:t>
      </w:r>
      <w:r>
        <w:rPr>
          <w:color w:val="231F20"/>
        </w:rPr>
        <w:t>prohibit</w:t>
      </w:r>
      <w:r>
        <w:rPr>
          <w:color w:val="231F20"/>
          <w:spacing w:val="-14"/>
        </w:rPr>
        <w:t> </w:t>
      </w:r>
      <w:r>
        <w:rPr>
          <w:color w:val="231F20"/>
        </w:rPr>
        <w:t>discrimination</w:t>
      </w:r>
      <w:r>
        <w:rPr>
          <w:color w:val="231F20"/>
          <w:spacing w:val="-14"/>
        </w:rPr>
        <w:t> </w:t>
      </w:r>
      <w:r>
        <w:rPr>
          <w:color w:val="231F20"/>
        </w:rPr>
        <w:t>by</w:t>
      </w:r>
      <w:r>
        <w:rPr>
          <w:color w:val="231F20"/>
          <w:spacing w:val="-14"/>
        </w:rPr>
        <w:t> </w:t>
      </w:r>
      <w:r>
        <w:rPr>
          <w:color w:val="231F20"/>
        </w:rPr>
        <w:t>employ- ers on the </w:t>
      </w:r>
      <w:r>
        <w:rPr>
          <w:color w:val="231F20"/>
          <w:spacing w:val="2"/>
        </w:rPr>
        <w:t>basis </w:t>
      </w:r>
      <w:r>
        <w:rPr>
          <w:color w:val="231F20"/>
        </w:rPr>
        <w:t>of the sex of </w:t>
      </w:r>
      <w:r>
        <w:rPr>
          <w:color w:val="231F20"/>
          <w:spacing w:val="2"/>
        </w:rPr>
        <w:t>their </w:t>
      </w:r>
      <w:r>
        <w:rPr>
          <w:color w:val="231F20"/>
        </w:rPr>
        <w:t>employees;</w:t>
      </w:r>
      <w:r>
        <w:rPr>
          <w:color w:val="231F20"/>
          <w:spacing w:val="-22"/>
        </w:rPr>
        <w:t> </w:t>
      </w:r>
      <w:r>
        <w:rPr>
          <w:color w:val="231F20"/>
        </w:rPr>
        <w:t>i.e.,</w:t>
      </w:r>
      <w:r>
        <w:rPr>
          <w:color w:val="231F20"/>
          <w:spacing w:val="-22"/>
        </w:rPr>
        <w:t> </w:t>
      </w:r>
      <w:r>
        <w:rPr>
          <w:color w:val="231F20"/>
        </w:rPr>
        <w:t>an</w:t>
      </w:r>
      <w:r>
        <w:rPr>
          <w:color w:val="231F20"/>
          <w:spacing w:val="-21"/>
        </w:rPr>
        <w:t> </w:t>
      </w:r>
      <w:r>
        <w:rPr>
          <w:color w:val="231F20"/>
        </w:rPr>
        <w:t>employee’s</w:t>
      </w:r>
      <w:r>
        <w:rPr>
          <w:color w:val="231F20"/>
          <w:spacing w:val="-22"/>
        </w:rPr>
        <w:t> </w:t>
      </w:r>
      <w:r>
        <w:rPr>
          <w:color w:val="231F20"/>
        </w:rPr>
        <w:t>gender as</w:t>
      </w:r>
      <w:r>
        <w:rPr>
          <w:color w:val="231F20"/>
          <w:spacing w:val="30"/>
        </w:rPr>
        <w:t> </w:t>
      </w:r>
      <w:r>
        <w:rPr>
          <w:color w:val="231F20"/>
        </w:rPr>
        <w:t>male</w:t>
      </w:r>
      <w:r>
        <w:rPr>
          <w:color w:val="231F20"/>
          <w:spacing w:val="31"/>
        </w:rPr>
        <w:t> </w:t>
      </w:r>
      <w:r>
        <w:rPr>
          <w:color w:val="231F20"/>
        </w:rPr>
        <w:t>or</w:t>
      </w:r>
      <w:r>
        <w:rPr>
          <w:color w:val="231F20"/>
          <w:spacing w:val="30"/>
        </w:rPr>
        <w:t> </w:t>
      </w:r>
      <w:r>
        <w:rPr>
          <w:color w:val="231F20"/>
        </w:rPr>
        <w:t>female.</w:t>
      </w:r>
      <w:r>
        <w:rPr>
          <w:color w:val="231F20"/>
          <w:spacing w:val="30"/>
        </w:rPr>
        <w:t> </w:t>
      </w:r>
      <w:r>
        <w:rPr>
          <w:color w:val="231F20"/>
        </w:rPr>
        <w:t>Further—at</w:t>
      </w:r>
      <w:r>
        <w:rPr>
          <w:color w:val="231F20"/>
          <w:spacing w:val="30"/>
        </w:rPr>
        <w:t> </w:t>
      </w:r>
      <w:r>
        <w:rPr>
          <w:color w:val="231F20"/>
        </w:rPr>
        <w:t>least</w:t>
      </w:r>
    </w:p>
    <w:p>
      <w:pPr>
        <w:pStyle w:val="BodyText"/>
        <w:spacing w:line="261" w:lineRule="auto" w:before="93"/>
        <w:ind w:left="119" w:right="38"/>
        <w:jc w:val="both"/>
      </w:pPr>
      <w:r>
        <w:rPr/>
        <w:br w:type="column"/>
      </w:r>
      <w:r>
        <w:rPr>
          <w:color w:val="231F20"/>
        </w:rPr>
        <w:t>by</w:t>
      </w:r>
      <w:r>
        <w:rPr>
          <w:color w:val="231F20"/>
          <w:spacing w:val="-8"/>
        </w:rPr>
        <w:t> </w:t>
      </w:r>
      <w:r>
        <w:rPr>
          <w:color w:val="231F20"/>
        </w:rPr>
        <w:t>law</w:t>
      </w:r>
      <w:r>
        <w:rPr>
          <w:color w:val="231F20"/>
          <w:spacing w:val="-7"/>
        </w:rPr>
        <w:t> </w:t>
      </w:r>
      <w:r>
        <w:rPr>
          <w:color w:val="231F20"/>
        </w:rPr>
        <w:t>to</w:t>
      </w:r>
      <w:r>
        <w:rPr>
          <w:color w:val="231F20"/>
          <w:spacing w:val="-7"/>
        </w:rPr>
        <w:t> </w:t>
      </w:r>
      <w:r>
        <w:rPr>
          <w:color w:val="231F20"/>
        </w:rPr>
        <w:t>other</w:t>
      </w:r>
      <w:r>
        <w:rPr>
          <w:color w:val="231F20"/>
          <w:spacing w:val="-8"/>
        </w:rPr>
        <w:t> </w:t>
      </w:r>
      <w:r>
        <w:rPr>
          <w:color w:val="231F20"/>
        </w:rPr>
        <w:t>minority</w:t>
      </w:r>
      <w:r>
        <w:rPr>
          <w:color w:val="231F20"/>
          <w:spacing w:val="-7"/>
        </w:rPr>
        <w:t> </w:t>
      </w:r>
      <w:r>
        <w:rPr>
          <w:color w:val="231F20"/>
        </w:rPr>
        <w:t>and</w:t>
      </w:r>
      <w:r>
        <w:rPr>
          <w:color w:val="231F20"/>
          <w:spacing w:val="-7"/>
        </w:rPr>
        <w:t> </w:t>
      </w:r>
      <w:r>
        <w:rPr>
          <w:color w:val="231F20"/>
        </w:rPr>
        <w:t>disenfran- chised</w:t>
      </w:r>
      <w:r>
        <w:rPr>
          <w:color w:val="231F20"/>
          <w:spacing w:val="-9"/>
        </w:rPr>
        <w:t> </w:t>
      </w:r>
      <w:r>
        <w:rPr>
          <w:color w:val="231F20"/>
        </w:rPr>
        <w:t>groups</w:t>
      </w:r>
      <w:r>
        <w:rPr>
          <w:color w:val="231F20"/>
          <w:spacing w:val="-9"/>
        </w:rPr>
        <w:t> </w:t>
      </w:r>
      <w:r>
        <w:rPr>
          <w:color w:val="231F20"/>
        </w:rPr>
        <w:t>to</w:t>
      </w:r>
      <w:r>
        <w:rPr>
          <w:color w:val="231F20"/>
          <w:spacing w:val="-9"/>
        </w:rPr>
        <w:t> </w:t>
      </w:r>
      <w:r>
        <w:rPr>
          <w:color w:val="231F20"/>
        </w:rPr>
        <w:t>these</w:t>
      </w:r>
      <w:r>
        <w:rPr>
          <w:color w:val="231F20"/>
          <w:spacing w:val="-9"/>
        </w:rPr>
        <w:t> </w:t>
      </w:r>
      <w:r>
        <w:rPr>
          <w:color w:val="231F20"/>
        </w:rPr>
        <w:t>individuals</w:t>
      </w:r>
      <w:r>
        <w:rPr>
          <w:color w:val="231F20"/>
          <w:spacing w:val="-9"/>
        </w:rPr>
        <w:t> </w:t>
      </w:r>
      <w:r>
        <w:rPr>
          <w:color w:val="231F20"/>
        </w:rPr>
        <w:t>and families, positively impacting Florida’s </w:t>
      </w:r>
      <w:r>
        <w:rPr>
          <w:color w:val="231F20"/>
          <w:spacing w:val="9"/>
        </w:rPr>
        <w:t>business community </w:t>
      </w:r>
      <w:r>
        <w:rPr>
          <w:color w:val="231F20"/>
          <w:spacing w:val="5"/>
        </w:rPr>
        <w:t>by </w:t>
      </w:r>
      <w:r>
        <w:rPr>
          <w:color w:val="231F20"/>
          <w:spacing w:val="11"/>
        </w:rPr>
        <w:t>attracting </w:t>
      </w:r>
      <w:r>
        <w:rPr>
          <w:color w:val="231F20"/>
        </w:rPr>
        <w:t>skilled and valuable employees to the state and bringing Florida in line with other states around the</w:t>
      </w:r>
      <w:r>
        <w:rPr>
          <w:color w:val="231F20"/>
          <w:spacing w:val="-18"/>
        </w:rPr>
        <w:t> </w:t>
      </w:r>
      <w:r>
        <w:rPr>
          <w:color w:val="231F20"/>
        </w:rPr>
        <w:t>country.</w:t>
      </w:r>
    </w:p>
    <w:p>
      <w:pPr>
        <w:pStyle w:val="BodyText"/>
        <w:spacing w:line="261" w:lineRule="auto"/>
        <w:ind w:left="119" w:right="47" w:firstLine="180"/>
        <w:jc w:val="both"/>
      </w:pPr>
      <w:r>
        <w:rPr>
          <w:color w:val="231F20"/>
        </w:rPr>
        <w:t>Additionally, broader federal protec- </w:t>
      </w:r>
      <w:r>
        <w:rPr>
          <w:color w:val="231F20"/>
          <w:spacing w:val="-3"/>
        </w:rPr>
        <w:t>tions</w:t>
      </w:r>
      <w:r>
        <w:rPr>
          <w:color w:val="231F20"/>
          <w:spacing w:val="-21"/>
        </w:rPr>
        <w:t> </w:t>
      </w:r>
      <w:r>
        <w:rPr>
          <w:color w:val="231F20"/>
        </w:rPr>
        <w:t>may</w:t>
      </w:r>
      <w:r>
        <w:rPr>
          <w:color w:val="231F20"/>
          <w:spacing w:val="-21"/>
        </w:rPr>
        <w:t> </w:t>
      </w:r>
      <w:r>
        <w:rPr>
          <w:color w:val="231F20"/>
          <w:spacing w:val="-3"/>
        </w:rPr>
        <w:t>come</w:t>
      </w:r>
      <w:r>
        <w:rPr>
          <w:color w:val="231F20"/>
          <w:spacing w:val="-20"/>
        </w:rPr>
        <w:t> </w:t>
      </w:r>
      <w:r>
        <w:rPr>
          <w:color w:val="231F20"/>
        </w:rPr>
        <w:t>out</w:t>
      </w:r>
      <w:r>
        <w:rPr>
          <w:color w:val="231F20"/>
          <w:spacing w:val="-21"/>
        </w:rPr>
        <w:t> </w:t>
      </w:r>
      <w:r>
        <w:rPr>
          <w:color w:val="231F20"/>
        </w:rPr>
        <w:t>of</w:t>
      </w:r>
      <w:r>
        <w:rPr>
          <w:color w:val="231F20"/>
          <w:spacing w:val="-20"/>
        </w:rPr>
        <w:t> </w:t>
      </w:r>
      <w:r>
        <w:rPr>
          <w:color w:val="231F20"/>
        </w:rPr>
        <w:t>the</w:t>
      </w:r>
      <w:r>
        <w:rPr>
          <w:color w:val="231F20"/>
          <w:spacing w:val="-21"/>
        </w:rPr>
        <w:t> </w:t>
      </w:r>
      <w:r>
        <w:rPr>
          <w:color w:val="231F20"/>
          <w:spacing w:val="-3"/>
        </w:rPr>
        <w:t>United</w:t>
      </w:r>
      <w:r>
        <w:rPr>
          <w:color w:val="231F20"/>
          <w:spacing w:val="-20"/>
        </w:rPr>
        <w:t> </w:t>
      </w:r>
      <w:r>
        <w:rPr>
          <w:color w:val="231F20"/>
          <w:spacing w:val="-3"/>
        </w:rPr>
        <w:t>States </w:t>
      </w:r>
      <w:r>
        <w:rPr>
          <w:color w:val="231F20"/>
        </w:rPr>
        <w:t>Supreme</w:t>
      </w:r>
      <w:r>
        <w:rPr>
          <w:color w:val="231F20"/>
          <w:spacing w:val="-8"/>
        </w:rPr>
        <w:t> </w:t>
      </w:r>
      <w:r>
        <w:rPr>
          <w:color w:val="231F20"/>
        </w:rPr>
        <w:t>Court</w:t>
      </w:r>
      <w:r>
        <w:rPr>
          <w:color w:val="231F20"/>
          <w:spacing w:val="-8"/>
        </w:rPr>
        <w:t> </w:t>
      </w:r>
      <w:r>
        <w:rPr>
          <w:color w:val="231F20"/>
        </w:rPr>
        <w:t>this</w:t>
      </w:r>
      <w:r>
        <w:rPr>
          <w:color w:val="231F20"/>
          <w:spacing w:val="-7"/>
        </w:rPr>
        <w:t> </w:t>
      </w:r>
      <w:r>
        <w:rPr>
          <w:color w:val="231F20"/>
        </w:rPr>
        <w:t>term</w:t>
      </w:r>
      <w:r>
        <w:rPr>
          <w:color w:val="231F20"/>
          <w:spacing w:val="-8"/>
        </w:rPr>
        <w:t> </w:t>
      </w:r>
      <w:r>
        <w:rPr>
          <w:color w:val="231F20"/>
        </w:rPr>
        <w:t>or</w:t>
      </w:r>
      <w:r>
        <w:rPr>
          <w:color w:val="231F20"/>
          <w:spacing w:val="-8"/>
        </w:rPr>
        <w:t> </w:t>
      </w:r>
      <w:r>
        <w:rPr>
          <w:color w:val="231F20"/>
        </w:rPr>
        <w:t>next.</w:t>
      </w:r>
      <w:r>
        <w:rPr>
          <w:color w:val="231F20"/>
          <w:spacing w:val="-19"/>
        </w:rPr>
        <w:t> </w:t>
      </w:r>
      <w:r>
        <w:rPr>
          <w:color w:val="231F20"/>
        </w:rPr>
        <w:t>As</w:t>
      </w:r>
      <w:r>
        <w:rPr>
          <w:color w:val="231F20"/>
          <w:spacing w:val="-8"/>
        </w:rPr>
        <w:t> </w:t>
      </w:r>
      <w:r>
        <w:rPr>
          <w:color w:val="231F20"/>
        </w:rPr>
        <w:t>of this</w:t>
      </w:r>
      <w:r>
        <w:rPr>
          <w:color w:val="231F20"/>
          <w:spacing w:val="28"/>
        </w:rPr>
        <w:t> </w:t>
      </w:r>
      <w:r>
        <w:rPr>
          <w:color w:val="231F20"/>
        </w:rPr>
        <w:t>writing,</w:t>
      </w:r>
      <w:r>
        <w:rPr>
          <w:color w:val="231F20"/>
          <w:spacing w:val="29"/>
        </w:rPr>
        <w:t> </w:t>
      </w:r>
      <w:r>
        <w:rPr>
          <w:color w:val="231F20"/>
        </w:rPr>
        <w:t>there</w:t>
      </w:r>
      <w:r>
        <w:rPr>
          <w:color w:val="231F20"/>
          <w:spacing w:val="28"/>
        </w:rPr>
        <w:t> </w:t>
      </w:r>
      <w:r>
        <w:rPr>
          <w:color w:val="231F20"/>
        </w:rPr>
        <w:t>are</w:t>
      </w:r>
      <w:r>
        <w:rPr>
          <w:color w:val="231F20"/>
          <w:spacing w:val="29"/>
        </w:rPr>
        <w:t> </w:t>
      </w:r>
      <w:r>
        <w:rPr>
          <w:color w:val="231F20"/>
        </w:rPr>
        <w:t>two</w:t>
      </w:r>
      <w:r>
        <w:rPr>
          <w:color w:val="231F20"/>
          <w:spacing w:val="28"/>
        </w:rPr>
        <w:t> </w:t>
      </w:r>
      <w:r>
        <w:rPr>
          <w:color w:val="231F20"/>
        </w:rPr>
        <w:t>competing</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pPr>
    </w:p>
    <w:p>
      <w:pPr>
        <w:pStyle w:val="ListParagraph"/>
        <w:numPr>
          <w:ilvl w:val="2"/>
          <w:numId w:val="1"/>
        </w:numPr>
        <w:tabs>
          <w:tab w:pos="673" w:val="left" w:leader="none"/>
        </w:tabs>
        <w:spacing w:line="240" w:lineRule="auto" w:before="0" w:after="0"/>
        <w:ind w:left="672" w:right="0" w:hanging="194"/>
        <w:jc w:val="left"/>
        <w:rPr>
          <w:sz w:val="16"/>
        </w:rPr>
      </w:pPr>
      <w:r>
        <w:rPr>
          <w:color w:val="231F20"/>
          <w:spacing w:val="-3"/>
          <w:sz w:val="16"/>
        </w:rPr>
        <w:t>TANDY</w:t>
      </w:r>
    </w:p>
    <w:p>
      <w:pPr>
        <w:pStyle w:val="BodyText"/>
        <w:rPr>
          <w:sz w:val="18"/>
        </w:rPr>
      </w:pPr>
    </w:p>
    <w:p>
      <w:pPr>
        <w:spacing w:before="118"/>
        <w:ind w:left="119" w:right="0" w:firstLine="0"/>
        <w:jc w:val="left"/>
        <w:rPr>
          <w:b/>
          <w:sz w:val="20"/>
        </w:rPr>
      </w:pPr>
      <w:r>
        <w:rPr>
          <w:b/>
          <w:color w:val="231F20"/>
          <w:sz w:val="20"/>
        </w:rPr>
        <w:t>Endnotes</w:t>
      </w:r>
    </w:p>
    <w:p>
      <w:pPr>
        <w:spacing w:line="264" w:lineRule="auto" w:before="93"/>
        <w:ind w:left="119" w:right="268" w:firstLine="180"/>
        <w:jc w:val="both"/>
        <w:rPr>
          <w:i/>
          <w:sz w:val="20"/>
        </w:rPr>
      </w:pPr>
      <w:r>
        <w:rPr/>
        <w:br w:type="column"/>
      </w:r>
      <w:r>
        <w:rPr>
          <w:b/>
          <w:i/>
          <w:color w:val="231F20"/>
          <w:spacing w:val="24"/>
          <w:sz w:val="20"/>
        </w:rPr>
        <w:t>Aaron </w:t>
      </w:r>
      <w:r>
        <w:rPr>
          <w:b/>
          <w:i/>
          <w:color w:val="231F20"/>
          <w:spacing w:val="22"/>
          <w:sz w:val="20"/>
        </w:rPr>
        <w:t>Tandy </w:t>
      </w:r>
      <w:r>
        <w:rPr>
          <w:i/>
          <w:color w:val="231F20"/>
          <w:spacing w:val="7"/>
          <w:sz w:val="20"/>
        </w:rPr>
        <w:t>is </w:t>
      </w:r>
      <w:r>
        <w:rPr>
          <w:i/>
          <w:color w:val="231F20"/>
          <w:sz w:val="20"/>
        </w:rPr>
        <w:t>a </w:t>
      </w:r>
      <w:r>
        <w:rPr>
          <w:i/>
          <w:color w:val="231F20"/>
          <w:spacing w:val="12"/>
          <w:sz w:val="20"/>
        </w:rPr>
        <w:t>partner </w:t>
      </w:r>
      <w:r>
        <w:rPr>
          <w:i/>
          <w:color w:val="231F20"/>
          <w:spacing w:val="15"/>
          <w:sz w:val="20"/>
        </w:rPr>
        <w:t>with </w:t>
      </w:r>
      <w:r>
        <w:rPr>
          <w:i/>
          <w:color w:val="231F20"/>
          <w:spacing w:val="-3"/>
          <w:sz w:val="20"/>
        </w:rPr>
        <w:t>Pathman Lewis, LLP </w:t>
      </w:r>
      <w:r>
        <w:rPr>
          <w:i/>
          <w:color w:val="231F20"/>
          <w:sz w:val="20"/>
        </w:rPr>
        <w:t>and a member of its commercial</w:t>
      </w:r>
      <w:r>
        <w:rPr>
          <w:i/>
          <w:color w:val="231F20"/>
          <w:spacing w:val="-38"/>
          <w:sz w:val="20"/>
        </w:rPr>
        <w:t> </w:t>
      </w:r>
      <w:r>
        <w:rPr>
          <w:i/>
          <w:color w:val="231F20"/>
          <w:sz w:val="20"/>
        </w:rPr>
        <w:t>litigation department.</w:t>
      </w:r>
    </w:p>
    <w:p>
      <w:pPr>
        <w:spacing w:after="0" w:line="264" w:lineRule="auto"/>
        <w:jc w:val="both"/>
        <w:rPr>
          <w:sz w:val="20"/>
        </w:rPr>
        <w:sectPr>
          <w:type w:val="continuous"/>
          <w:pgSz w:w="12240" w:h="15840"/>
          <w:pgMar w:top="500" w:bottom="280" w:left="720" w:right="540"/>
          <w:cols w:num="4" w:equalWidth="0">
            <w:col w:w="3525" w:space="75"/>
            <w:col w:w="3531" w:space="69"/>
            <w:col w:w="1243" w:space="357"/>
            <w:col w:w="2180"/>
          </w:cols>
        </w:sectPr>
      </w:pPr>
    </w:p>
    <w:p>
      <w:pPr>
        <w:pStyle w:val="BodyText"/>
        <w:spacing w:line="261" w:lineRule="auto"/>
        <w:ind w:left="119" w:right="43"/>
        <w:jc w:val="both"/>
        <w:rPr>
          <w:sz w:val="12"/>
        </w:rPr>
      </w:pPr>
      <w:r>
        <w:rPr>
          <w:color w:val="231F20"/>
        </w:rPr>
        <w:t>for now—the Eleventh Circuit, Florida federal</w:t>
      </w:r>
      <w:r>
        <w:rPr>
          <w:color w:val="231F20"/>
          <w:spacing w:val="-21"/>
        </w:rPr>
        <w:t> </w:t>
      </w:r>
      <w:r>
        <w:rPr>
          <w:color w:val="231F20"/>
        </w:rPr>
        <w:t>district</w:t>
      </w:r>
      <w:r>
        <w:rPr>
          <w:color w:val="231F20"/>
          <w:spacing w:val="-21"/>
        </w:rPr>
        <w:t> </w:t>
      </w:r>
      <w:r>
        <w:rPr>
          <w:color w:val="231F20"/>
        </w:rPr>
        <w:t>courts,</w:t>
      </w:r>
      <w:r>
        <w:rPr>
          <w:color w:val="231F20"/>
          <w:spacing w:val="-20"/>
        </w:rPr>
        <w:t> </w:t>
      </w:r>
      <w:r>
        <w:rPr>
          <w:color w:val="231F20"/>
        </w:rPr>
        <w:t>and</w:t>
      </w:r>
      <w:r>
        <w:rPr>
          <w:color w:val="231F20"/>
          <w:spacing w:val="-21"/>
        </w:rPr>
        <w:t> </w:t>
      </w:r>
      <w:r>
        <w:rPr>
          <w:color w:val="231F20"/>
        </w:rPr>
        <w:t>Florida</w:t>
      </w:r>
      <w:r>
        <w:rPr>
          <w:color w:val="231F20"/>
          <w:spacing w:val="-21"/>
        </w:rPr>
        <w:t> </w:t>
      </w:r>
      <w:r>
        <w:rPr>
          <w:color w:val="231F20"/>
        </w:rPr>
        <w:t>state courts continue to draw a distinction between employee discrimination and retaliation</w:t>
      </w:r>
      <w:r>
        <w:rPr>
          <w:color w:val="231F20"/>
          <w:spacing w:val="-21"/>
        </w:rPr>
        <w:t> </w:t>
      </w:r>
      <w:r>
        <w:rPr>
          <w:color w:val="231F20"/>
        </w:rPr>
        <w:t>claims</w:t>
      </w:r>
      <w:r>
        <w:rPr>
          <w:color w:val="231F20"/>
          <w:spacing w:val="-21"/>
        </w:rPr>
        <w:t> </w:t>
      </w:r>
      <w:r>
        <w:rPr>
          <w:color w:val="231F20"/>
        </w:rPr>
        <w:t>on</w:t>
      </w:r>
      <w:r>
        <w:rPr>
          <w:color w:val="231F20"/>
          <w:spacing w:val="-20"/>
        </w:rPr>
        <w:t> </w:t>
      </w:r>
      <w:r>
        <w:rPr>
          <w:color w:val="231F20"/>
        </w:rPr>
        <w:t>the</w:t>
      </w:r>
      <w:r>
        <w:rPr>
          <w:color w:val="231F20"/>
          <w:spacing w:val="-21"/>
        </w:rPr>
        <w:t> </w:t>
      </w:r>
      <w:r>
        <w:rPr>
          <w:color w:val="231F20"/>
        </w:rPr>
        <w:t>basis</w:t>
      </w:r>
      <w:r>
        <w:rPr>
          <w:color w:val="231F20"/>
          <w:spacing w:val="-21"/>
        </w:rPr>
        <w:t> </w:t>
      </w:r>
      <w:r>
        <w:rPr>
          <w:color w:val="231F20"/>
        </w:rPr>
        <w:t>of</w:t>
      </w:r>
      <w:r>
        <w:rPr>
          <w:color w:val="231F20"/>
          <w:spacing w:val="-20"/>
        </w:rPr>
        <w:t> </w:t>
      </w:r>
      <w:r>
        <w:rPr>
          <w:color w:val="231F20"/>
        </w:rPr>
        <w:t>sexual orientation (which are not covered un- der </w:t>
      </w:r>
      <w:r>
        <w:rPr>
          <w:color w:val="231F20"/>
          <w:spacing w:val="-3"/>
        </w:rPr>
        <w:t>Title </w:t>
      </w:r>
      <w:r>
        <w:rPr>
          <w:color w:val="231F20"/>
        </w:rPr>
        <w:t>VII or the FCRA) and claims on the basis of gender non-conformity (which are</w:t>
      </w:r>
      <w:r>
        <w:rPr>
          <w:color w:val="231F20"/>
          <w:spacing w:val="-2"/>
        </w:rPr>
        <w:t> </w:t>
      </w:r>
      <w:r>
        <w:rPr>
          <w:color w:val="231F20"/>
        </w:rPr>
        <w:t>covered).</w:t>
      </w:r>
      <w:r>
        <w:rPr>
          <w:color w:val="231F20"/>
          <w:position w:val="7"/>
          <w:sz w:val="12"/>
        </w:rPr>
        <w:t>4</w:t>
      </w:r>
    </w:p>
    <w:p>
      <w:pPr>
        <w:pStyle w:val="BodyText"/>
        <w:spacing w:line="261" w:lineRule="auto"/>
        <w:ind w:left="120" w:right="38" w:firstLine="180"/>
        <w:jc w:val="both"/>
      </w:pPr>
      <w:r>
        <w:rPr>
          <w:color w:val="231F20"/>
          <w:spacing w:val="3"/>
        </w:rPr>
        <w:t>However, efforts </w:t>
      </w:r>
      <w:r>
        <w:rPr>
          <w:color w:val="231F20"/>
          <w:spacing w:val="4"/>
        </w:rPr>
        <w:t>toward </w:t>
      </w:r>
      <w:r>
        <w:rPr>
          <w:color w:val="231F20"/>
          <w:spacing w:val="3"/>
        </w:rPr>
        <w:t>providing </w:t>
      </w:r>
      <w:r>
        <w:rPr>
          <w:color w:val="231F20"/>
        </w:rPr>
        <w:t>more safeguards for Florida lesbian, </w:t>
      </w:r>
      <w:r>
        <w:rPr>
          <w:color w:val="231F20"/>
          <w:spacing w:val="-5"/>
        </w:rPr>
        <w:t>gay, </w:t>
      </w:r>
      <w:r>
        <w:rPr>
          <w:color w:val="231F20"/>
        </w:rPr>
        <w:t>bisexual, transgender, and ques- </w:t>
      </w:r>
      <w:r>
        <w:rPr>
          <w:color w:val="231F20"/>
          <w:spacing w:val="-3"/>
        </w:rPr>
        <w:t>tioning</w:t>
      </w:r>
      <w:r>
        <w:rPr>
          <w:color w:val="231F20"/>
          <w:spacing w:val="-25"/>
        </w:rPr>
        <w:t> </w:t>
      </w:r>
      <w:r>
        <w:rPr>
          <w:color w:val="231F20"/>
          <w:spacing w:val="-3"/>
        </w:rPr>
        <w:t>(LGBTQ)</w:t>
      </w:r>
      <w:r>
        <w:rPr>
          <w:color w:val="231F20"/>
          <w:spacing w:val="-25"/>
        </w:rPr>
        <w:t> </w:t>
      </w:r>
      <w:r>
        <w:rPr>
          <w:color w:val="231F20"/>
          <w:spacing w:val="-3"/>
        </w:rPr>
        <w:t>employees</w:t>
      </w:r>
      <w:r>
        <w:rPr>
          <w:color w:val="231F20"/>
          <w:spacing w:val="-25"/>
        </w:rPr>
        <w:t> </w:t>
      </w:r>
      <w:r>
        <w:rPr>
          <w:color w:val="231F20"/>
        </w:rPr>
        <w:t>are</w:t>
      </w:r>
      <w:r>
        <w:rPr>
          <w:color w:val="231F20"/>
          <w:spacing w:val="-25"/>
        </w:rPr>
        <w:t> </w:t>
      </w:r>
      <w:r>
        <w:rPr>
          <w:color w:val="231F20"/>
          <w:spacing w:val="-3"/>
        </w:rPr>
        <w:t>making </w:t>
      </w:r>
      <w:r>
        <w:rPr>
          <w:color w:val="231F20"/>
        </w:rPr>
        <w:t>headway</w:t>
      </w:r>
      <w:r>
        <w:rPr>
          <w:color w:val="231F20"/>
          <w:spacing w:val="-10"/>
        </w:rPr>
        <w:t> </w:t>
      </w:r>
      <w:r>
        <w:rPr>
          <w:color w:val="231F20"/>
        </w:rPr>
        <w:t>on</w:t>
      </w:r>
      <w:r>
        <w:rPr>
          <w:color w:val="231F20"/>
          <w:spacing w:val="-10"/>
        </w:rPr>
        <w:t> </w:t>
      </w:r>
      <w:r>
        <w:rPr>
          <w:color w:val="231F20"/>
        </w:rPr>
        <w:t>the</w:t>
      </w:r>
      <w:r>
        <w:rPr>
          <w:color w:val="231F20"/>
          <w:spacing w:val="-10"/>
        </w:rPr>
        <w:t> </w:t>
      </w:r>
      <w:r>
        <w:rPr>
          <w:color w:val="231F20"/>
        </w:rPr>
        <w:t>legislative</w:t>
      </w:r>
      <w:r>
        <w:rPr>
          <w:color w:val="231F20"/>
          <w:spacing w:val="-9"/>
        </w:rPr>
        <w:t> </w:t>
      </w:r>
      <w:r>
        <w:rPr>
          <w:color w:val="231F20"/>
        </w:rPr>
        <w:t>front,</w:t>
      </w:r>
      <w:r>
        <w:rPr>
          <w:color w:val="231F20"/>
          <w:spacing w:val="-10"/>
        </w:rPr>
        <w:t> </w:t>
      </w:r>
      <w:r>
        <w:rPr>
          <w:color w:val="231F20"/>
        </w:rPr>
        <w:t>albeit incrementally.</w:t>
      </w:r>
      <w:r>
        <w:rPr>
          <w:color w:val="231F20"/>
          <w:spacing w:val="-25"/>
        </w:rPr>
        <w:t> </w:t>
      </w:r>
      <w:r>
        <w:rPr>
          <w:color w:val="231F20"/>
        </w:rPr>
        <w:t>First,</w:t>
      </w:r>
      <w:r>
        <w:rPr>
          <w:color w:val="231F20"/>
          <w:spacing w:val="-25"/>
        </w:rPr>
        <w:t> </w:t>
      </w:r>
      <w:r>
        <w:rPr>
          <w:color w:val="231F20"/>
        </w:rPr>
        <w:t>individual</w:t>
      </w:r>
      <w:r>
        <w:rPr>
          <w:color w:val="231F20"/>
          <w:spacing w:val="-25"/>
        </w:rPr>
        <w:t> </w:t>
      </w:r>
      <w:r>
        <w:rPr>
          <w:color w:val="231F20"/>
        </w:rPr>
        <w:t>counties </w:t>
      </w:r>
      <w:r>
        <w:rPr>
          <w:color w:val="231F20"/>
          <w:spacing w:val="4"/>
        </w:rPr>
        <w:t>and </w:t>
      </w:r>
      <w:r>
        <w:rPr>
          <w:color w:val="231F20"/>
          <w:spacing w:val="5"/>
        </w:rPr>
        <w:t>communities </w:t>
      </w:r>
      <w:r>
        <w:rPr>
          <w:color w:val="231F20"/>
          <w:spacing w:val="4"/>
        </w:rPr>
        <w:t>are </w:t>
      </w:r>
      <w:r>
        <w:rPr>
          <w:color w:val="231F20"/>
          <w:spacing w:val="5"/>
        </w:rPr>
        <w:t>passing </w:t>
      </w:r>
      <w:r>
        <w:rPr>
          <w:color w:val="231F20"/>
          <w:spacing w:val="6"/>
        </w:rPr>
        <w:t>local </w:t>
      </w:r>
      <w:r>
        <w:rPr>
          <w:color w:val="231F20"/>
        </w:rPr>
        <w:t>ordinances intended to provide some modicum of protection for these work- ers. Second, individual employers are stepping</w:t>
      </w:r>
      <w:r>
        <w:rPr>
          <w:color w:val="231F20"/>
          <w:spacing w:val="-17"/>
        </w:rPr>
        <w:t> </w:t>
      </w:r>
      <w:r>
        <w:rPr>
          <w:color w:val="231F20"/>
        </w:rPr>
        <w:t>up</w:t>
      </w:r>
      <w:r>
        <w:rPr>
          <w:color w:val="231F20"/>
          <w:spacing w:val="-17"/>
        </w:rPr>
        <w:t> </w:t>
      </w:r>
      <w:r>
        <w:rPr>
          <w:color w:val="231F20"/>
        </w:rPr>
        <w:t>around</w:t>
      </w:r>
      <w:r>
        <w:rPr>
          <w:color w:val="231F20"/>
          <w:spacing w:val="-17"/>
        </w:rPr>
        <w:t> </w:t>
      </w:r>
      <w:r>
        <w:rPr>
          <w:color w:val="231F20"/>
        </w:rPr>
        <w:t>the</w:t>
      </w:r>
      <w:r>
        <w:rPr>
          <w:color w:val="231F20"/>
          <w:spacing w:val="-16"/>
        </w:rPr>
        <w:t> </w:t>
      </w:r>
      <w:r>
        <w:rPr>
          <w:color w:val="231F20"/>
        </w:rPr>
        <w:t>state</w:t>
      </w:r>
      <w:r>
        <w:rPr>
          <w:color w:val="231F20"/>
          <w:spacing w:val="-17"/>
        </w:rPr>
        <w:t> </w:t>
      </w:r>
      <w:r>
        <w:rPr>
          <w:color w:val="231F20"/>
        </w:rPr>
        <w:t>to</w:t>
      </w:r>
      <w:r>
        <w:rPr>
          <w:color w:val="231F20"/>
          <w:spacing w:val="-17"/>
        </w:rPr>
        <w:t> </w:t>
      </w:r>
      <w:r>
        <w:rPr>
          <w:color w:val="231F20"/>
        </w:rPr>
        <w:t>include protections</w:t>
      </w:r>
      <w:r>
        <w:rPr>
          <w:color w:val="231F20"/>
          <w:spacing w:val="-30"/>
        </w:rPr>
        <w:t> </w:t>
      </w:r>
      <w:r>
        <w:rPr>
          <w:color w:val="231F20"/>
        </w:rPr>
        <w:t>for</w:t>
      </w:r>
      <w:r>
        <w:rPr>
          <w:color w:val="231F20"/>
          <w:spacing w:val="-29"/>
        </w:rPr>
        <w:t> </w:t>
      </w:r>
      <w:r>
        <w:rPr>
          <w:color w:val="231F20"/>
        </w:rPr>
        <w:t>their</w:t>
      </w:r>
      <w:r>
        <w:rPr>
          <w:color w:val="231F20"/>
          <w:spacing w:val="-29"/>
        </w:rPr>
        <w:t> </w:t>
      </w:r>
      <w:r>
        <w:rPr>
          <w:color w:val="231F20"/>
        </w:rPr>
        <w:t>LGBTQ</w:t>
      </w:r>
      <w:r>
        <w:rPr>
          <w:color w:val="231F20"/>
          <w:spacing w:val="-29"/>
        </w:rPr>
        <w:t> </w:t>
      </w:r>
      <w:r>
        <w:rPr>
          <w:color w:val="231F20"/>
        </w:rPr>
        <w:t>employees in</w:t>
      </w:r>
      <w:r>
        <w:rPr>
          <w:color w:val="231F20"/>
          <w:spacing w:val="-38"/>
        </w:rPr>
        <w:t> </w:t>
      </w:r>
      <w:r>
        <w:rPr>
          <w:color w:val="231F20"/>
        </w:rPr>
        <w:t>non-discrimination</w:t>
      </w:r>
      <w:r>
        <w:rPr>
          <w:color w:val="231F20"/>
          <w:spacing w:val="-37"/>
        </w:rPr>
        <w:t> </w:t>
      </w:r>
      <w:r>
        <w:rPr>
          <w:color w:val="231F20"/>
        </w:rPr>
        <w:t>policies</w:t>
      </w:r>
      <w:r>
        <w:rPr>
          <w:color w:val="231F20"/>
          <w:spacing w:val="-37"/>
        </w:rPr>
        <w:t> </w:t>
      </w:r>
      <w:r>
        <w:rPr>
          <w:color w:val="231F20"/>
        </w:rPr>
        <w:t>and</w:t>
      </w:r>
      <w:r>
        <w:rPr>
          <w:color w:val="231F20"/>
          <w:spacing w:val="-37"/>
        </w:rPr>
        <w:t> </w:t>
      </w:r>
      <w:r>
        <w:rPr>
          <w:color w:val="231F20"/>
        </w:rPr>
        <w:t>direc- tives. Third, State Senator Joe Gruter recently</w:t>
      </w:r>
      <w:r>
        <w:rPr>
          <w:color w:val="231F20"/>
          <w:spacing w:val="-41"/>
        </w:rPr>
        <w:t> </w:t>
      </w:r>
      <w:r>
        <w:rPr>
          <w:color w:val="231F20"/>
        </w:rPr>
        <w:t>introduced</w:t>
      </w:r>
      <w:r>
        <w:rPr>
          <w:color w:val="231F20"/>
          <w:spacing w:val="-41"/>
        </w:rPr>
        <w:t> </w:t>
      </w:r>
      <w:r>
        <w:rPr>
          <w:color w:val="231F20"/>
        </w:rPr>
        <w:t>the</w:t>
      </w:r>
      <w:r>
        <w:rPr>
          <w:color w:val="231F20"/>
          <w:spacing w:val="-40"/>
        </w:rPr>
        <w:t> </w:t>
      </w:r>
      <w:r>
        <w:rPr>
          <w:color w:val="231F20"/>
        </w:rPr>
        <w:t>Florida</w:t>
      </w:r>
      <w:r>
        <w:rPr>
          <w:color w:val="231F20"/>
          <w:spacing w:val="-41"/>
        </w:rPr>
        <w:t> </w:t>
      </w:r>
      <w:r>
        <w:rPr>
          <w:color w:val="231F20"/>
        </w:rPr>
        <w:t>Inclusive Workforce Act, SB 438, which would amend the FCRA to prohibit discrimi- nation in employment on the basis of gender identity and sexual</w:t>
      </w:r>
      <w:r>
        <w:rPr>
          <w:color w:val="231F20"/>
          <w:spacing w:val="-42"/>
        </w:rPr>
        <w:t> </w:t>
      </w:r>
      <w:r>
        <w:rPr>
          <w:color w:val="231F20"/>
        </w:rPr>
        <w:t>orientation. While these measures do not prevent </w:t>
      </w:r>
      <w:r>
        <w:rPr>
          <w:color w:val="231F20"/>
          <w:spacing w:val="6"/>
        </w:rPr>
        <w:t>all </w:t>
      </w:r>
      <w:r>
        <w:rPr>
          <w:color w:val="231F20"/>
          <w:spacing w:val="8"/>
        </w:rPr>
        <w:t>discrimination </w:t>
      </w:r>
      <w:r>
        <w:rPr>
          <w:color w:val="231F20"/>
          <w:spacing w:val="7"/>
        </w:rPr>
        <w:t>against Florida’s </w:t>
      </w:r>
      <w:r>
        <w:rPr>
          <w:color w:val="231F20"/>
        </w:rPr>
        <w:t>LGBTQ</w:t>
      </w:r>
      <w:r>
        <w:rPr>
          <w:color w:val="231F20"/>
          <w:spacing w:val="-24"/>
        </w:rPr>
        <w:t> </w:t>
      </w:r>
      <w:r>
        <w:rPr>
          <w:color w:val="231F20"/>
        </w:rPr>
        <w:t>population</w:t>
      </w:r>
      <w:r>
        <w:rPr>
          <w:color w:val="231F20"/>
          <w:spacing w:val="-25"/>
        </w:rPr>
        <w:t> </w:t>
      </w:r>
      <w:r>
        <w:rPr>
          <w:color w:val="231F20"/>
        </w:rPr>
        <w:t>(which</w:t>
      </w:r>
      <w:r>
        <w:rPr>
          <w:color w:val="231F20"/>
          <w:spacing w:val="-23"/>
        </w:rPr>
        <w:t> </w:t>
      </w:r>
      <w:r>
        <w:rPr>
          <w:color w:val="231F20"/>
        </w:rPr>
        <w:t>a</w:t>
      </w:r>
      <w:r>
        <w:rPr>
          <w:color w:val="231F20"/>
          <w:spacing w:val="-25"/>
        </w:rPr>
        <w:t> </w:t>
      </w:r>
      <w:r>
        <w:rPr>
          <w:color w:val="231F20"/>
        </w:rPr>
        <w:t>recent</w:t>
      </w:r>
      <w:r>
        <w:rPr>
          <w:color w:val="231F20"/>
          <w:spacing w:val="-24"/>
        </w:rPr>
        <w:t> </w:t>
      </w:r>
      <w:r>
        <w:rPr>
          <w:color w:val="231F20"/>
        </w:rPr>
        <w:t>sur- vey put at over one million residents), this legislation, if passed, will expand </w:t>
      </w:r>
      <w:r>
        <w:rPr>
          <w:color w:val="231F20"/>
          <w:spacing w:val="2"/>
        </w:rPr>
        <w:t>and</w:t>
      </w:r>
      <w:r>
        <w:rPr>
          <w:color w:val="231F20"/>
          <w:spacing w:val="34"/>
        </w:rPr>
        <w:t> </w:t>
      </w:r>
      <w:r>
        <w:rPr>
          <w:color w:val="231F20"/>
          <w:spacing w:val="3"/>
        </w:rPr>
        <w:t>extend</w:t>
      </w:r>
      <w:r>
        <w:rPr>
          <w:color w:val="231F20"/>
          <w:spacing w:val="35"/>
        </w:rPr>
        <w:t> </w:t>
      </w:r>
      <w:r>
        <w:rPr>
          <w:color w:val="231F20"/>
          <w:spacing w:val="2"/>
        </w:rPr>
        <w:t>the</w:t>
      </w:r>
      <w:r>
        <w:rPr>
          <w:color w:val="231F20"/>
          <w:spacing w:val="35"/>
        </w:rPr>
        <w:t> </w:t>
      </w:r>
      <w:r>
        <w:rPr>
          <w:color w:val="231F20"/>
          <w:spacing w:val="3"/>
        </w:rPr>
        <w:t>protections</w:t>
      </w:r>
      <w:r>
        <w:rPr>
          <w:color w:val="231F20"/>
          <w:spacing w:val="35"/>
        </w:rPr>
        <w:t> </w:t>
      </w:r>
      <w:r>
        <w:rPr>
          <w:color w:val="231F20"/>
        </w:rPr>
        <w:t>afforded</w:t>
      </w:r>
    </w:p>
    <w:p>
      <w:pPr>
        <w:pStyle w:val="BodyText"/>
        <w:spacing w:line="261" w:lineRule="auto"/>
        <w:ind w:left="119" w:right="41"/>
        <w:jc w:val="both"/>
      </w:pPr>
      <w:r>
        <w:rPr/>
        <w:br w:type="column"/>
      </w:r>
      <w:r>
        <w:rPr>
          <w:color w:val="231F20"/>
        </w:rPr>
        <w:t>petitions for writs of certiorari pending before the Supreme Court regarding the expansion of </w:t>
      </w:r>
      <w:r>
        <w:rPr>
          <w:color w:val="231F20"/>
          <w:spacing w:val="-3"/>
        </w:rPr>
        <w:t>Title </w:t>
      </w:r>
      <w:r>
        <w:rPr>
          <w:color w:val="231F20"/>
        </w:rPr>
        <w:t>VII to causes of action</w:t>
      </w:r>
      <w:r>
        <w:rPr>
          <w:color w:val="231F20"/>
          <w:spacing w:val="-31"/>
        </w:rPr>
        <w:t> </w:t>
      </w:r>
      <w:r>
        <w:rPr>
          <w:color w:val="231F20"/>
        </w:rPr>
        <w:t>for</w:t>
      </w:r>
      <w:r>
        <w:rPr>
          <w:color w:val="231F20"/>
          <w:spacing w:val="-30"/>
        </w:rPr>
        <w:t> </w:t>
      </w:r>
      <w:r>
        <w:rPr>
          <w:color w:val="231F20"/>
        </w:rPr>
        <w:t>sexual</w:t>
      </w:r>
      <w:r>
        <w:rPr>
          <w:color w:val="231F20"/>
          <w:spacing w:val="-31"/>
        </w:rPr>
        <w:t> </w:t>
      </w:r>
      <w:r>
        <w:rPr>
          <w:color w:val="231F20"/>
        </w:rPr>
        <w:t>orientation</w:t>
      </w:r>
      <w:r>
        <w:rPr>
          <w:color w:val="231F20"/>
          <w:spacing w:val="-30"/>
        </w:rPr>
        <w:t> </w:t>
      </w:r>
      <w:r>
        <w:rPr>
          <w:color w:val="231F20"/>
        </w:rPr>
        <w:t>discrimina- tion.</w:t>
      </w:r>
      <w:r>
        <w:rPr>
          <w:color w:val="231F20"/>
          <w:spacing w:val="-25"/>
        </w:rPr>
        <w:t> </w:t>
      </w:r>
      <w:r>
        <w:rPr>
          <w:i/>
          <w:color w:val="231F20"/>
        </w:rPr>
        <w:t>Bostock</w:t>
      </w:r>
      <w:r>
        <w:rPr>
          <w:i/>
          <w:color w:val="231F20"/>
          <w:spacing w:val="-24"/>
        </w:rPr>
        <w:t> </w:t>
      </w:r>
      <w:r>
        <w:rPr>
          <w:color w:val="231F20"/>
        </w:rPr>
        <w:t>(Docket</w:t>
      </w:r>
      <w:r>
        <w:rPr>
          <w:color w:val="231F20"/>
          <w:spacing w:val="-24"/>
        </w:rPr>
        <w:t> </w:t>
      </w:r>
      <w:r>
        <w:rPr>
          <w:color w:val="231F20"/>
        </w:rPr>
        <w:t>No.</w:t>
      </w:r>
      <w:r>
        <w:rPr>
          <w:color w:val="231F20"/>
          <w:spacing w:val="-25"/>
        </w:rPr>
        <w:t> </w:t>
      </w:r>
      <w:r>
        <w:rPr>
          <w:color w:val="231F20"/>
          <w:spacing w:val="-3"/>
        </w:rPr>
        <w:t>17-1618)</w:t>
      </w:r>
      <w:r>
        <w:rPr>
          <w:color w:val="231F20"/>
          <w:spacing w:val="-24"/>
        </w:rPr>
        <w:t> </w:t>
      </w:r>
      <w:r>
        <w:rPr>
          <w:color w:val="231F20"/>
          <w:spacing w:val="-3"/>
        </w:rPr>
        <w:t>and </w:t>
      </w:r>
      <w:r>
        <w:rPr>
          <w:i/>
          <w:color w:val="231F20"/>
        </w:rPr>
        <w:t>Zarda </w:t>
      </w:r>
      <w:r>
        <w:rPr>
          <w:color w:val="231F20"/>
        </w:rPr>
        <w:t>(Docket No. 17-1623) were dis- tributed for conference of the justices on</w:t>
      </w:r>
      <w:r>
        <w:rPr>
          <w:color w:val="231F20"/>
          <w:spacing w:val="-21"/>
        </w:rPr>
        <w:t> </w:t>
      </w:r>
      <w:r>
        <w:rPr>
          <w:color w:val="231F20"/>
        </w:rPr>
        <w:t>February</w:t>
      </w:r>
      <w:r>
        <w:rPr>
          <w:color w:val="231F20"/>
          <w:spacing w:val="-20"/>
        </w:rPr>
        <w:t> </w:t>
      </w:r>
      <w:r>
        <w:rPr>
          <w:color w:val="231F20"/>
        </w:rPr>
        <w:t>15,</w:t>
      </w:r>
      <w:r>
        <w:rPr>
          <w:color w:val="231F20"/>
          <w:spacing w:val="-21"/>
        </w:rPr>
        <w:t> </w:t>
      </w:r>
      <w:r>
        <w:rPr>
          <w:color w:val="231F20"/>
        </w:rPr>
        <w:t>2019.</w:t>
      </w:r>
      <w:r>
        <w:rPr>
          <w:color w:val="231F20"/>
          <w:position w:val="7"/>
          <w:sz w:val="12"/>
        </w:rPr>
        <w:t>5</w:t>
      </w:r>
      <w:r>
        <w:rPr>
          <w:color w:val="231F20"/>
          <w:spacing w:val="-8"/>
          <w:position w:val="7"/>
          <w:sz w:val="12"/>
        </w:rPr>
        <w:t> </w:t>
      </w:r>
      <w:r>
        <w:rPr>
          <w:color w:val="231F20"/>
        </w:rPr>
        <w:t>Also</w:t>
      </w:r>
      <w:r>
        <w:rPr>
          <w:color w:val="231F20"/>
          <w:spacing w:val="-20"/>
        </w:rPr>
        <w:t> </w:t>
      </w:r>
      <w:r>
        <w:rPr>
          <w:color w:val="231F20"/>
        </w:rPr>
        <w:t>distributed for the February 15th conference was the appeal in </w:t>
      </w:r>
      <w:r>
        <w:rPr>
          <w:i/>
          <w:color w:val="231F20"/>
        </w:rPr>
        <w:t>R.G. &amp; G.R. Harris Fu- </w:t>
      </w:r>
      <w:r>
        <w:rPr>
          <w:i/>
          <w:color w:val="231F20"/>
        </w:rPr>
        <w:t>neral</w:t>
      </w:r>
      <w:r>
        <w:rPr>
          <w:i/>
          <w:color w:val="231F20"/>
          <w:spacing w:val="-27"/>
        </w:rPr>
        <w:t> </w:t>
      </w:r>
      <w:r>
        <w:rPr>
          <w:i/>
          <w:color w:val="231F20"/>
        </w:rPr>
        <w:t>Homes,</w:t>
      </w:r>
      <w:r>
        <w:rPr>
          <w:i/>
          <w:color w:val="231F20"/>
          <w:spacing w:val="-27"/>
        </w:rPr>
        <w:t> </w:t>
      </w:r>
      <w:r>
        <w:rPr>
          <w:i/>
          <w:color w:val="231F20"/>
        </w:rPr>
        <w:t>Inc.</w:t>
      </w:r>
      <w:r>
        <w:rPr>
          <w:i/>
          <w:color w:val="231F20"/>
          <w:spacing w:val="-27"/>
        </w:rPr>
        <w:t> </w:t>
      </w:r>
      <w:r>
        <w:rPr>
          <w:color w:val="231F20"/>
        </w:rPr>
        <w:t>(Docket</w:t>
      </w:r>
      <w:r>
        <w:rPr>
          <w:color w:val="231F20"/>
          <w:spacing w:val="-27"/>
        </w:rPr>
        <w:t> </w:t>
      </w:r>
      <w:r>
        <w:rPr>
          <w:color w:val="231F20"/>
        </w:rPr>
        <w:t>No.</w:t>
      </w:r>
      <w:r>
        <w:rPr>
          <w:color w:val="231F20"/>
          <w:spacing w:val="-27"/>
        </w:rPr>
        <w:t> </w:t>
      </w:r>
      <w:r>
        <w:rPr>
          <w:color w:val="231F20"/>
        </w:rPr>
        <w:t>18-107), seeking to extend </w:t>
      </w:r>
      <w:r>
        <w:rPr>
          <w:color w:val="231F20"/>
          <w:spacing w:val="-3"/>
        </w:rPr>
        <w:t>Title </w:t>
      </w:r>
      <w:r>
        <w:rPr>
          <w:color w:val="231F20"/>
        </w:rPr>
        <w:t>VII protections to transgender employees.</w:t>
      </w:r>
      <w:r>
        <w:rPr>
          <w:color w:val="231F20"/>
          <w:position w:val="7"/>
          <w:sz w:val="12"/>
        </w:rPr>
        <w:t>6 </w:t>
      </w:r>
      <w:r>
        <w:rPr>
          <w:color w:val="231F20"/>
        </w:rPr>
        <w:t>Of</w:t>
      </w:r>
      <w:r>
        <w:rPr>
          <w:color w:val="231F20"/>
          <w:spacing w:val="-43"/>
        </w:rPr>
        <w:t> </w:t>
      </w:r>
      <w:r>
        <w:rPr>
          <w:color w:val="231F20"/>
        </w:rPr>
        <w:t>course, the</w:t>
      </w:r>
      <w:r>
        <w:rPr>
          <w:color w:val="231F20"/>
          <w:spacing w:val="-7"/>
        </w:rPr>
        <w:t> </w:t>
      </w:r>
      <w:r>
        <w:rPr>
          <w:color w:val="231F20"/>
        </w:rPr>
        <w:t>retirement</w:t>
      </w:r>
      <w:r>
        <w:rPr>
          <w:color w:val="231F20"/>
          <w:spacing w:val="-7"/>
        </w:rPr>
        <w:t> </w:t>
      </w:r>
      <w:r>
        <w:rPr>
          <w:color w:val="231F20"/>
        </w:rPr>
        <w:t>of</w:t>
      </w:r>
      <w:r>
        <w:rPr>
          <w:color w:val="231F20"/>
          <w:spacing w:val="-7"/>
        </w:rPr>
        <w:t> </w:t>
      </w:r>
      <w:r>
        <w:rPr>
          <w:color w:val="231F20"/>
        </w:rPr>
        <w:t>Justice</w:t>
      </w:r>
      <w:r>
        <w:rPr>
          <w:color w:val="231F20"/>
          <w:spacing w:val="-18"/>
        </w:rPr>
        <w:t> </w:t>
      </w:r>
      <w:r>
        <w:rPr>
          <w:color w:val="231F20"/>
        </w:rPr>
        <w:t>Anthony</w:t>
      </w:r>
      <w:r>
        <w:rPr>
          <w:color w:val="231F20"/>
          <w:spacing w:val="-7"/>
        </w:rPr>
        <w:t> </w:t>
      </w:r>
      <w:r>
        <w:rPr>
          <w:color w:val="231F20"/>
          <w:spacing w:val="-3"/>
        </w:rPr>
        <w:t>Ken- </w:t>
      </w:r>
      <w:r>
        <w:rPr>
          <w:color w:val="231F20"/>
        </w:rPr>
        <w:t>nedy and appointment of Justice Brett Kavanaugh, as well as the prior ap- pointment</w:t>
      </w:r>
      <w:r>
        <w:rPr>
          <w:color w:val="231F20"/>
          <w:spacing w:val="-16"/>
        </w:rPr>
        <w:t> </w:t>
      </w:r>
      <w:r>
        <w:rPr>
          <w:color w:val="231F20"/>
        </w:rPr>
        <w:t>of</w:t>
      </w:r>
      <w:r>
        <w:rPr>
          <w:color w:val="231F20"/>
          <w:spacing w:val="-16"/>
        </w:rPr>
        <w:t> </w:t>
      </w:r>
      <w:r>
        <w:rPr>
          <w:color w:val="231F20"/>
        </w:rPr>
        <w:t>Justice</w:t>
      </w:r>
      <w:r>
        <w:rPr>
          <w:color w:val="231F20"/>
          <w:spacing w:val="-16"/>
        </w:rPr>
        <w:t> </w:t>
      </w:r>
      <w:r>
        <w:rPr>
          <w:color w:val="231F20"/>
        </w:rPr>
        <w:t>Neil</w:t>
      </w:r>
      <w:r>
        <w:rPr>
          <w:color w:val="231F20"/>
          <w:spacing w:val="-15"/>
        </w:rPr>
        <w:t> </w:t>
      </w:r>
      <w:r>
        <w:rPr>
          <w:color w:val="231F20"/>
        </w:rPr>
        <w:t>Gorsuch,</w:t>
      </w:r>
      <w:r>
        <w:rPr>
          <w:color w:val="231F20"/>
          <w:spacing w:val="-16"/>
        </w:rPr>
        <w:t> </w:t>
      </w:r>
      <w:r>
        <w:rPr>
          <w:color w:val="231F20"/>
        </w:rPr>
        <w:t>has realigned the Court from the majority </w:t>
      </w:r>
      <w:r>
        <w:rPr>
          <w:color w:val="231F20"/>
          <w:spacing w:val="2"/>
        </w:rPr>
        <w:t>that decided </w:t>
      </w:r>
      <w:r>
        <w:rPr>
          <w:i/>
          <w:color w:val="231F20"/>
          <w:spacing w:val="2"/>
        </w:rPr>
        <w:t>Obergefell </w:t>
      </w:r>
      <w:r>
        <w:rPr>
          <w:i/>
          <w:color w:val="231F20"/>
          <w:spacing w:val="-6"/>
        </w:rPr>
        <w:t>v. </w:t>
      </w:r>
      <w:r>
        <w:rPr>
          <w:i/>
          <w:color w:val="231F20"/>
          <w:spacing w:val="2"/>
        </w:rPr>
        <w:t>Hodges</w:t>
      </w:r>
      <w:r>
        <w:rPr>
          <w:color w:val="231F20"/>
          <w:spacing w:val="2"/>
        </w:rPr>
        <w:t>,</w:t>
      </w:r>
      <w:r>
        <w:rPr>
          <w:color w:val="231F20"/>
          <w:spacing w:val="2"/>
          <w:position w:val="7"/>
          <w:sz w:val="12"/>
        </w:rPr>
        <w:t>7 </w:t>
      </w:r>
      <w:r>
        <w:rPr>
          <w:color w:val="231F20"/>
        </w:rPr>
        <w:t>which recognized a fundamental right of same sex couples to </w:t>
      </w:r>
      <w:r>
        <w:rPr>
          <w:color w:val="231F20"/>
          <w:spacing w:val="-3"/>
        </w:rPr>
        <w:t>marry. </w:t>
      </w:r>
      <w:r>
        <w:rPr>
          <w:color w:val="231F20"/>
        </w:rPr>
        <w:t>Never- theless,</w:t>
      </w:r>
      <w:r>
        <w:rPr>
          <w:color w:val="231F20"/>
          <w:spacing w:val="-16"/>
        </w:rPr>
        <w:t> </w:t>
      </w:r>
      <w:r>
        <w:rPr>
          <w:color w:val="231F20"/>
        </w:rPr>
        <w:t>protection</w:t>
      </w:r>
      <w:r>
        <w:rPr>
          <w:color w:val="231F20"/>
          <w:spacing w:val="-15"/>
        </w:rPr>
        <w:t> </w:t>
      </w:r>
      <w:r>
        <w:rPr>
          <w:color w:val="231F20"/>
        </w:rPr>
        <w:t>for</w:t>
      </w:r>
      <w:r>
        <w:rPr>
          <w:color w:val="231F20"/>
          <w:spacing w:val="-15"/>
        </w:rPr>
        <w:t> </w:t>
      </w:r>
      <w:r>
        <w:rPr>
          <w:color w:val="231F20"/>
        </w:rPr>
        <w:t>LGBTQ</w:t>
      </w:r>
      <w:r>
        <w:rPr>
          <w:color w:val="231F20"/>
          <w:spacing w:val="-16"/>
        </w:rPr>
        <w:t> </w:t>
      </w:r>
      <w:r>
        <w:rPr>
          <w:color w:val="231F20"/>
        </w:rPr>
        <w:t>workers would</w:t>
      </w:r>
      <w:r>
        <w:rPr>
          <w:color w:val="231F20"/>
          <w:spacing w:val="-19"/>
        </w:rPr>
        <w:t> </w:t>
      </w:r>
      <w:r>
        <w:rPr>
          <w:color w:val="231F20"/>
        </w:rPr>
        <w:t>seem</w:t>
      </w:r>
      <w:r>
        <w:rPr>
          <w:color w:val="231F20"/>
          <w:spacing w:val="-19"/>
        </w:rPr>
        <w:t> </w:t>
      </w:r>
      <w:r>
        <w:rPr>
          <w:color w:val="231F20"/>
        </w:rPr>
        <w:t>to</w:t>
      </w:r>
      <w:r>
        <w:rPr>
          <w:color w:val="231F20"/>
          <w:spacing w:val="-19"/>
        </w:rPr>
        <w:t> </w:t>
      </w:r>
      <w:r>
        <w:rPr>
          <w:color w:val="231F20"/>
        </w:rPr>
        <w:t>be</w:t>
      </w:r>
      <w:r>
        <w:rPr>
          <w:color w:val="231F20"/>
          <w:spacing w:val="-19"/>
        </w:rPr>
        <w:t> </w:t>
      </w:r>
      <w:r>
        <w:rPr>
          <w:color w:val="231F20"/>
        </w:rPr>
        <w:t>a</w:t>
      </w:r>
      <w:r>
        <w:rPr>
          <w:color w:val="231F20"/>
          <w:spacing w:val="-19"/>
        </w:rPr>
        <w:t> </w:t>
      </w:r>
      <w:r>
        <w:rPr>
          <w:color w:val="231F20"/>
        </w:rPr>
        <w:t>logical</w:t>
      </w:r>
      <w:r>
        <w:rPr>
          <w:color w:val="231F20"/>
          <w:spacing w:val="-19"/>
        </w:rPr>
        <w:t> </w:t>
      </w:r>
      <w:r>
        <w:rPr>
          <w:color w:val="231F20"/>
        </w:rPr>
        <w:t>progression from this case, as the right to be </w:t>
      </w:r>
      <w:r>
        <w:rPr>
          <w:color w:val="231F20"/>
          <w:spacing w:val="-3"/>
        </w:rPr>
        <w:t>free </w:t>
      </w:r>
      <w:r>
        <w:rPr>
          <w:color w:val="231F20"/>
        </w:rPr>
        <w:t>from</w:t>
      </w:r>
      <w:r>
        <w:rPr>
          <w:color w:val="231F20"/>
          <w:spacing w:val="-18"/>
        </w:rPr>
        <w:t> </w:t>
      </w:r>
      <w:r>
        <w:rPr>
          <w:color w:val="231F20"/>
        </w:rPr>
        <w:t>discrimination</w:t>
      </w:r>
      <w:r>
        <w:rPr>
          <w:color w:val="231F20"/>
          <w:spacing w:val="-18"/>
        </w:rPr>
        <w:t> </w:t>
      </w:r>
      <w:r>
        <w:rPr>
          <w:color w:val="231F20"/>
        </w:rPr>
        <w:t>as</w:t>
      </w:r>
      <w:r>
        <w:rPr>
          <w:color w:val="231F20"/>
          <w:spacing w:val="-19"/>
        </w:rPr>
        <w:t> </w:t>
      </w:r>
      <w:r>
        <w:rPr>
          <w:color w:val="231F20"/>
        </w:rPr>
        <w:t>part</w:t>
      </w:r>
      <w:r>
        <w:rPr>
          <w:color w:val="231F20"/>
          <w:spacing w:val="-18"/>
        </w:rPr>
        <w:t> </w:t>
      </w:r>
      <w:r>
        <w:rPr>
          <w:color w:val="231F20"/>
        </w:rPr>
        <w:t>of</w:t>
      </w:r>
      <w:r>
        <w:rPr>
          <w:color w:val="231F20"/>
          <w:spacing w:val="-18"/>
        </w:rPr>
        <w:t> </w:t>
      </w:r>
      <w:r>
        <w:rPr>
          <w:color w:val="231F20"/>
        </w:rPr>
        <w:t>the</w:t>
      </w:r>
      <w:r>
        <w:rPr>
          <w:color w:val="231F20"/>
          <w:spacing w:val="-18"/>
        </w:rPr>
        <w:t> </w:t>
      </w:r>
      <w:r>
        <w:rPr>
          <w:color w:val="231F20"/>
        </w:rPr>
        <w:t>work- </w:t>
      </w:r>
      <w:r>
        <w:rPr>
          <w:color w:val="231F20"/>
          <w:spacing w:val="-3"/>
        </w:rPr>
        <w:t>force</w:t>
      </w:r>
      <w:r>
        <w:rPr>
          <w:color w:val="231F20"/>
          <w:spacing w:val="-19"/>
        </w:rPr>
        <w:t> </w:t>
      </w:r>
      <w:r>
        <w:rPr>
          <w:color w:val="231F20"/>
        </w:rPr>
        <w:t>is</w:t>
      </w:r>
      <w:r>
        <w:rPr>
          <w:color w:val="231F20"/>
          <w:spacing w:val="-18"/>
        </w:rPr>
        <w:t> </w:t>
      </w:r>
      <w:r>
        <w:rPr>
          <w:color w:val="231F20"/>
        </w:rPr>
        <w:t>a</w:t>
      </w:r>
      <w:r>
        <w:rPr>
          <w:color w:val="231F20"/>
          <w:spacing w:val="-18"/>
        </w:rPr>
        <w:t> </w:t>
      </w:r>
      <w:r>
        <w:rPr>
          <w:color w:val="231F20"/>
          <w:spacing w:val="-3"/>
        </w:rPr>
        <w:t>right</w:t>
      </w:r>
      <w:r>
        <w:rPr>
          <w:color w:val="231F20"/>
          <w:spacing w:val="-18"/>
        </w:rPr>
        <w:t> </w:t>
      </w:r>
      <w:r>
        <w:rPr>
          <w:color w:val="231F20"/>
          <w:spacing w:val="-3"/>
        </w:rPr>
        <w:t>enjoyed</w:t>
      </w:r>
      <w:r>
        <w:rPr>
          <w:color w:val="231F20"/>
          <w:spacing w:val="-19"/>
        </w:rPr>
        <w:t> </w:t>
      </w:r>
      <w:r>
        <w:rPr>
          <w:color w:val="231F20"/>
        </w:rPr>
        <w:t>by</w:t>
      </w:r>
      <w:r>
        <w:rPr>
          <w:color w:val="231F20"/>
          <w:spacing w:val="-18"/>
        </w:rPr>
        <w:t> </w:t>
      </w:r>
      <w:r>
        <w:rPr>
          <w:color w:val="231F20"/>
          <w:spacing w:val="-3"/>
        </w:rPr>
        <w:t>other</w:t>
      </w:r>
      <w:r>
        <w:rPr>
          <w:color w:val="231F20"/>
          <w:spacing w:val="-18"/>
        </w:rPr>
        <w:t> </w:t>
      </w:r>
      <w:r>
        <w:rPr>
          <w:color w:val="231F20"/>
          <w:spacing w:val="-3"/>
        </w:rPr>
        <w:t>minority </w:t>
      </w:r>
      <w:r>
        <w:rPr>
          <w:color w:val="231F20"/>
        </w:rPr>
        <w:t>communities.</w:t>
      </w:r>
    </w:p>
    <w:p>
      <w:pPr>
        <w:pStyle w:val="BodyText"/>
        <w:spacing w:line="206" w:lineRule="exact"/>
        <w:ind w:left="300"/>
        <w:jc w:val="both"/>
      </w:pPr>
      <w:r>
        <w:rPr>
          <w:color w:val="231F20"/>
        </w:rPr>
        <w:t>Until</w:t>
      </w:r>
      <w:r>
        <w:rPr>
          <w:color w:val="231F20"/>
          <w:spacing w:val="-27"/>
        </w:rPr>
        <w:t> </w:t>
      </w:r>
      <w:r>
        <w:rPr>
          <w:color w:val="231F20"/>
        </w:rPr>
        <w:t>the</w:t>
      </w:r>
      <w:r>
        <w:rPr>
          <w:color w:val="231F20"/>
          <w:spacing w:val="-27"/>
        </w:rPr>
        <w:t> </w:t>
      </w:r>
      <w:r>
        <w:rPr>
          <w:color w:val="231F20"/>
        </w:rPr>
        <w:t>Supreme</w:t>
      </w:r>
      <w:r>
        <w:rPr>
          <w:color w:val="231F20"/>
          <w:spacing w:val="-27"/>
        </w:rPr>
        <w:t> </w:t>
      </w:r>
      <w:r>
        <w:rPr>
          <w:color w:val="231F20"/>
        </w:rPr>
        <w:t>Court</w:t>
      </w:r>
      <w:r>
        <w:rPr>
          <w:color w:val="231F20"/>
          <w:spacing w:val="-27"/>
        </w:rPr>
        <w:t> </w:t>
      </w:r>
      <w:r>
        <w:rPr>
          <w:color w:val="231F20"/>
        </w:rPr>
        <w:t>or</w:t>
      </w:r>
      <w:r>
        <w:rPr>
          <w:color w:val="231F20"/>
          <w:spacing w:val="-27"/>
        </w:rPr>
        <w:t> </w:t>
      </w:r>
      <w:r>
        <w:rPr>
          <w:color w:val="231F20"/>
        </w:rPr>
        <w:t>Congress</w:t>
      </w:r>
    </w:p>
    <w:p>
      <w:pPr>
        <w:pStyle w:val="BodyText"/>
        <w:spacing w:line="261" w:lineRule="auto" w:before="10"/>
        <w:ind w:left="120" w:right="38"/>
        <w:jc w:val="both"/>
        <w:rPr>
          <w:sz w:val="12"/>
        </w:rPr>
      </w:pPr>
      <w:r>
        <w:rPr>
          <w:color w:val="231F20"/>
        </w:rPr>
        <w:t>acts, jurists will continue to face the prospect of adhering to circuit prec- </w:t>
      </w:r>
      <w:r>
        <w:rPr>
          <w:color w:val="231F20"/>
          <w:spacing w:val="3"/>
        </w:rPr>
        <w:t>edent that some courts have </w:t>
      </w:r>
      <w:r>
        <w:rPr>
          <w:color w:val="231F20"/>
          <w:spacing w:val="4"/>
        </w:rPr>
        <w:t>found </w:t>
      </w:r>
      <w:r>
        <w:rPr>
          <w:color w:val="231F20"/>
        </w:rPr>
        <w:t>perpetuates an outmoded distinction between</w:t>
      </w:r>
      <w:r>
        <w:rPr>
          <w:color w:val="231F20"/>
          <w:spacing w:val="-30"/>
        </w:rPr>
        <w:t> </w:t>
      </w:r>
      <w:r>
        <w:rPr>
          <w:color w:val="231F20"/>
        </w:rPr>
        <w:t>gender</w:t>
      </w:r>
      <w:r>
        <w:rPr>
          <w:color w:val="231F20"/>
          <w:spacing w:val="-30"/>
        </w:rPr>
        <w:t> </w:t>
      </w:r>
      <w:r>
        <w:rPr>
          <w:color w:val="231F20"/>
        </w:rPr>
        <w:t>non-conformity</w:t>
      </w:r>
      <w:r>
        <w:rPr>
          <w:color w:val="231F20"/>
          <w:spacing w:val="-30"/>
        </w:rPr>
        <w:t> </w:t>
      </w:r>
      <w:r>
        <w:rPr>
          <w:color w:val="231F20"/>
        </w:rPr>
        <w:t>claims and sexual orientation</w:t>
      </w:r>
      <w:r>
        <w:rPr>
          <w:color w:val="231F20"/>
          <w:spacing w:val="-27"/>
        </w:rPr>
        <w:t> </w:t>
      </w:r>
      <w:r>
        <w:rPr>
          <w:color w:val="231F20"/>
        </w:rPr>
        <w:t>discrimination.</w:t>
      </w:r>
      <w:r>
        <w:rPr>
          <w:color w:val="231F20"/>
          <w:position w:val="7"/>
          <w:sz w:val="12"/>
        </w:rPr>
        <w:t>8</w:t>
      </w:r>
    </w:p>
    <w:p>
      <w:pPr>
        <w:spacing w:before="32"/>
        <w:ind w:left="119" w:right="0" w:firstLine="0"/>
        <w:jc w:val="left"/>
        <w:rPr>
          <w:sz w:val="16"/>
        </w:rPr>
      </w:pPr>
      <w:r>
        <w:rPr/>
        <w:br w:type="column"/>
      </w:r>
      <w:r>
        <w:rPr>
          <w:color w:val="231F20"/>
          <w:position w:val="5"/>
          <w:sz w:val="9"/>
        </w:rPr>
        <w:t>1 </w:t>
      </w:r>
      <w:r>
        <w:rPr>
          <w:i/>
          <w:color w:val="231F20"/>
          <w:sz w:val="16"/>
        </w:rPr>
        <w:t>See, e.g., </w:t>
      </w:r>
      <w:r>
        <w:rPr>
          <w:color w:val="231F20"/>
          <w:sz w:val="16"/>
        </w:rPr>
        <w:t>N.Y. Exec. Law § 296(1)(a).</w:t>
      </w:r>
    </w:p>
    <w:p>
      <w:pPr>
        <w:spacing w:before="49"/>
        <w:ind w:left="119" w:right="0" w:firstLine="0"/>
        <w:jc w:val="left"/>
        <w:rPr>
          <w:i/>
          <w:sz w:val="16"/>
        </w:rPr>
      </w:pPr>
      <w:r>
        <w:rPr>
          <w:color w:val="231F20"/>
          <w:position w:val="5"/>
          <w:sz w:val="9"/>
        </w:rPr>
        <w:t>2        </w:t>
      </w:r>
      <w:r>
        <w:rPr>
          <w:color w:val="231F20"/>
          <w:sz w:val="16"/>
        </w:rPr>
        <w:t>Fla. Stat. §§ 760.01, </w:t>
      </w:r>
      <w:r>
        <w:rPr>
          <w:i/>
          <w:color w:val="231F20"/>
          <w:sz w:val="16"/>
        </w:rPr>
        <w:t>et</w:t>
      </w:r>
      <w:r>
        <w:rPr>
          <w:i/>
          <w:color w:val="231F20"/>
          <w:spacing w:val="-22"/>
          <w:sz w:val="16"/>
        </w:rPr>
        <w:t> </w:t>
      </w:r>
      <w:r>
        <w:rPr>
          <w:i/>
          <w:color w:val="231F20"/>
          <w:sz w:val="16"/>
        </w:rPr>
        <w:t>seq.</w:t>
      </w:r>
    </w:p>
    <w:p>
      <w:pPr>
        <w:spacing w:before="50"/>
        <w:ind w:left="119" w:right="0" w:firstLine="0"/>
        <w:jc w:val="left"/>
        <w:rPr>
          <w:i/>
          <w:sz w:val="16"/>
        </w:rPr>
      </w:pPr>
      <w:r>
        <w:rPr>
          <w:color w:val="231F20"/>
          <w:position w:val="5"/>
          <w:sz w:val="9"/>
        </w:rPr>
        <w:t>3       </w:t>
      </w:r>
      <w:r>
        <w:rPr>
          <w:color w:val="231F20"/>
          <w:sz w:val="16"/>
        </w:rPr>
        <w:t>42 U.S.C. §§ 2000e, </w:t>
      </w:r>
      <w:r>
        <w:rPr>
          <w:i/>
          <w:color w:val="231F20"/>
          <w:sz w:val="16"/>
        </w:rPr>
        <w:t>et</w:t>
      </w:r>
      <w:r>
        <w:rPr>
          <w:i/>
          <w:color w:val="231F20"/>
          <w:spacing w:val="-4"/>
          <w:sz w:val="16"/>
        </w:rPr>
        <w:t> </w:t>
      </w:r>
      <w:r>
        <w:rPr>
          <w:i/>
          <w:color w:val="231F20"/>
          <w:sz w:val="16"/>
        </w:rPr>
        <w:t>seq.</w:t>
      </w:r>
    </w:p>
    <w:p>
      <w:pPr>
        <w:spacing w:line="252" w:lineRule="auto" w:before="50"/>
        <w:ind w:left="120" w:right="292" w:hanging="1"/>
        <w:jc w:val="both"/>
        <w:rPr>
          <w:i/>
          <w:sz w:val="16"/>
        </w:rPr>
      </w:pPr>
      <w:r>
        <w:rPr>
          <w:color w:val="231F20"/>
          <w:position w:val="5"/>
          <w:sz w:val="9"/>
        </w:rPr>
        <w:t>4 </w:t>
      </w:r>
      <w:r>
        <w:rPr>
          <w:i/>
          <w:color w:val="231F20"/>
          <w:spacing w:val="2"/>
          <w:sz w:val="16"/>
        </w:rPr>
        <w:t>Compare Bostock </w:t>
      </w:r>
      <w:r>
        <w:rPr>
          <w:i/>
          <w:color w:val="231F20"/>
          <w:spacing w:val="-5"/>
          <w:sz w:val="16"/>
        </w:rPr>
        <w:t>v. </w:t>
      </w:r>
      <w:r>
        <w:rPr>
          <w:i/>
          <w:color w:val="231F20"/>
          <w:spacing w:val="2"/>
          <w:sz w:val="16"/>
        </w:rPr>
        <w:t>Clayton </w:t>
      </w:r>
      <w:r>
        <w:rPr>
          <w:i/>
          <w:color w:val="231F20"/>
          <w:sz w:val="16"/>
        </w:rPr>
        <w:t>Cnty. Bd. </w:t>
      </w:r>
      <w:r>
        <w:rPr>
          <w:i/>
          <w:color w:val="231F20"/>
          <w:spacing w:val="3"/>
          <w:sz w:val="16"/>
        </w:rPr>
        <w:t>of </w:t>
      </w:r>
      <w:r>
        <w:rPr>
          <w:i/>
          <w:color w:val="231F20"/>
          <w:spacing w:val="3"/>
          <w:sz w:val="16"/>
        </w:rPr>
        <w:t>Comm’rs</w:t>
      </w:r>
      <w:r>
        <w:rPr>
          <w:color w:val="231F20"/>
          <w:spacing w:val="3"/>
          <w:sz w:val="16"/>
        </w:rPr>
        <w:t>, </w:t>
      </w:r>
      <w:r>
        <w:rPr>
          <w:color w:val="231F20"/>
          <w:spacing w:val="2"/>
          <w:sz w:val="16"/>
        </w:rPr>
        <w:t>723 </w:t>
      </w:r>
      <w:r>
        <w:rPr>
          <w:color w:val="231F20"/>
          <w:spacing w:val="-7"/>
          <w:sz w:val="16"/>
        </w:rPr>
        <w:t>F. </w:t>
      </w:r>
      <w:r>
        <w:rPr>
          <w:color w:val="231F20"/>
          <w:spacing w:val="3"/>
          <w:sz w:val="16"/>
        </w:rPr>
        <w:t>App’x </w:t>
      </w:r>
      <w:r>
        <w:rPr>
          <w:color w:val="231F20"/>
          <w:spacing w:val="2"/>
          <w:sz w:val="16"/>
        </w:rPr>
        <w:t>964 </w:t>
      </w:r>
      <w:r>
        <w:rPr>
          <w:color w:val="231F20"/>
          <w:sz w:val="16"/>
        </w:rPr>
        <w:t>(11th Cir. </w:t>
      </w:r>
      <w:r>
        <w:rPr>
          <w:color w:val="231F20"/>
          <w:spacing w:val="4"/>
          <w:sz w:val="16"/>
        </w:rPr>
        <w:t>2018) </w:t>
      </w:r>
      <w:r>
        <w:rPr>
          <w:color w:val="231F20"/>
          <w:sz w:val="16"/>
        </w:rPr>
        <w:t>(affirming dismissal of sexual orientation dis- crimination claim) </w:t>
      </w:r>
      <w:r>
        <w:rPr>
          <w:i/>
          <w:color w:val="231F20"/>
          <w:sz w:val="16"/>
        </w:rPr>
        <w:t>with Glenn </w:t>
      </w:r>
      <w:r>
        <w:rPr>
          <w:i/>
          <w:color w:val="231F20"/>
          <w:spacing w:val="-5"/>
          <w:sz w:val="16"/>
        </w:rPr>
        <w:t>v. </w:t>
      </w:r>
      <w:r>
        <w:rPr>
          <w:i/>
          <w:color w:val="231F20"/>
          <w:sz w:val="16"/>
        </w:rPr>
        <w:t>Brumby</w:t>
      </w:r>
      <w:r>
        <w:rPr>
          <w:color w:val="231F20"/>
          <w:sz w:val="16"/>
        </w:rPr>
        <w:t>, </w:t>
      </w:r>
      <w:r>
        <w:rPr>
          <w:color w:val="231F20"/>
          <w:spacing w:val="2"/>
          <w:sz w:val="16"/>
        </w:rPr>
        <w:t>663 </w:t>
      </w:r>
      <w:r>
        <w:rPr>
          <w:color w:val="231F20"/>
          <w:spacing w:val="-5"/>
          <w:sz w:val="16"/>
        </w:rPr>
        <w:t>F.3d </w:t>
      </w:r>
      <w:r>
        <w:rPr>
          <w:color w:val="231F20"/>
          <w:sz w:val="16"/>
        </w:rPr>
        <w:t>1312 </w:t>
      </w:r>
      <w:r>
        <w:rPr>
          <w:color w:val="231F20"/>
          <w:spacing w:val="-3"/>
          <w:sz w:val="16"/>
        </w:rPr>
        <w:t>(11th </w:t>
      </w:r>
      <w:r>
        <w:rPr>
          <w:color w:val="231F20"/>
          <w:sz w:val="16"/>
        </w:rPr>
        <w:t>Cir. </w:t>
      </w:r>
      <w:r>
        <w:rPr>
          <w:color w:val="231F20"/>
          <w:spacing w:val="-3"/>
          <w:sz w:val="16"/>
        </w:rPr>
        <w:t>2011) </w:t>
      </w:r>
      <w:r>
        <w:rPr>
          <w:color w:val="231F20"/>
          <w:sz w:val="16"/>
        </w:rPr>
        <w:t>(finding discrimina- </w:t>
      </w:r>
      <w:r>
        <w:rPr>
          <w:color w:val="231F20"/>
          <w:spacing w:val="2"/>
          <w:sz w:val="16"/>
        </w:rPr>
        <w:t>tion </w:t>
      </w:r>
      <w:r>
        <w:rPr>
          <w:color w:val="231F20"/>
          <w:sz w:val="16"/>
        </w:rPr>
        <w:t>on the </w:t>
      </w:r>
      <w:r>
        <w:rPr>
          <w:color w:val="231F20"/>
          <w:spacing w:val="2"/>
          <w:sz w:val="16"/>
        </w:rPr>
        <w:t>basis </w:t>
      </w:r>
      <w:r>
        <w:rPr>
          <w:color w:val="231F20"/>
          <w:sz w:val="16"/>
        </w:rPr>
        <w:t>of </w:t>
      </w:r>
      <w:r>
        <w:rPr>
          <w:color w:val="231F20"/>
          <w:spacing w:val="2"/>
          <w:sz w:val="16"/>
        </w:rPr>
        <w:t>gender nonconformity </w:t>
      </w:r>
      <w:r>
        <w:rPr>
          <w:color w:val="231F20"/>
          <w:sz w:val="16"/>
        </w:rPr>
        <w:t>is sex</w:t>
      </w:r>
      <w:r>
        <w:rPr>
          <w:color w:val="231F20"/>
          <w:spacing w:val="-8"/>
          <w:sz w:val="16"/>
        </w:rPr>
        <w:t> </w:t>
      </w:r>
      <w:r>
        <w:rPr>
          <w:color w:val="231F20"/>
          <w:sz w:val="16"/>
        </w:rPr>
        <w:t>discrimination).</w:t>
      </w:r>
      <w:r>
        <w:rPr>
          <w:color w:val="231F20"/>
          <w:spacing w:val="-8"/>
          <w:sz w:val="16"/>
        </w:rPr>
        <w:t> </w:t>
      </w:r>
      <w:r>
        <w:rPr>
          <w:i/>
          <w:color w:val="231F20"/>
          <w:sz w:val="16"/>
        </w:rPr>
        <w:t>See</w:t>
      </w:r>
      <w:r>
        <w:rPr>
          <w:i/>
          <w:color w:val="231F20"/>
          <w:spacing w:val="-8"/>
          <w:sz w:val="16"/>
        </w:rPr>
        <w:t> </w:t>
      </w:r>
      <w:r>
        <w:rPr>
          <w:i/>
          <w:color w:val="231F20"/>
          <w:sz w:val="16"/>
        </w:rPr>
        <w:t>also</w:t>
      </w:r>
      <w:r>
        <w:rPr>
          <w:i/>
          <w:color w:val="231F20"/>
          <w:spacing w:val="-8"/>
          <w:sz w:val="16"/>
        </w:rPr>
        <w:t> </w:t>
      </w:r>
      <w:r>
        <w:rPr>
          <w:i/>
          <w:color w:val="231F20"/>
          <w:sz w:val="16"/>
        </w:rPr>
        <w:t>Evans</w:t>
      </w:r>
      <w:r>
        <w:rPr>
          <w:i/>
          <w:color w:val="231F20"/>
          <w:spacing w:val="-8"/>
          <w:sz w:val="16"/>
        </w:rPr>
        <w:t> </w:t>
      </w:r>
      <w:r>
        <w:rPr>
          <w:i/>
          <w:color w:val="231F20"/>
          <w:spacing w:val="-6"/>
          <w:sz w:val="16"/>
        </w:rPr>
        <w:t>v.</w:t>
      </w:r>
      <w:r>
        <w:rPr>
          <w:i/>
          <w:color w:val="231F20"/>
          <w:spacing w:val="-8"/>
          <w:sz w:val="16"/>
        </w:rPr>
        <w:t> </w:t>
      </w:r>
      <w:r>
        <w:rPr>
          <w:i/>
          <w:color w:val="231F20"/>
          <w:sz w:val="16"/>
        </w:rPr>
        <w:t>Ga.</w:t>
      </w:r>
      <w:r>
        <w:rPr>
          <w:i/>
          <w:color w:val="231F20"/>
          <w:spacing w:val="-8"/>
          <w:sz w:val="16"/>
        </w:rPr>
        <w:t> </w:t>
      </w:r>
      <w:r>
        <w:rPr>
          <w:i/>
          <w:color w:val="231F20"/>
          <w:sz w:val="16"/>
        </w:rPr>
        <w:t>Reg’l </w:t>
      </w:r>
      <w:r>
        <w:rPr>
          <w:i/>
          <w:color w:val="231F20"/>
          <w:spacing w:val="2"/>
          <w:sz w:val="16"/>
        </w:rPr>
        <w:t>Hosp.</w:t>
      </w:r>
      <w:r>
        <w:rPr>
          <w:color w:val="231F20"/>
          <w:spacing w:val="2"/>
          <w:sz w:val="16"/>
        </w:rPr>
        <w:t>, </w:t>
      </w:r>
      <w:r>
        <w:rPr>
          <w:color w:val="231F20"/>
          <w:sz w:val="16"/>
        </w:rPr>
        <w:t>850 </w:t>
      </w:r>
      <w:r>
        <w:rPr>
          <w:color w:val="231F20"/>
          <w:spacing w:val="-3"/>
          <w:sz w:val="16"/>
        </w:rPr>
        <w:t>F.3d </w:t>
      </w:r>
      <w:r>
        <w:rPr>
          <w:color w:val="231F20"/>
          <w:spacing w:val="2"/>
          <w:sz w:val="16"/>
        </w:rPr>
        <w:t>1248, 1255 </w:t>
      </w:r>
      <w:r>
        <w:rPr>
          <w:color w:val="231F20"/>
          <w:sz w:val="16"/>
        </w:rPr>
        <w:t>(11th Cir. </w:t>
      </w:r>
      <w:r>
        <w:rPr>
          <w:color w:val="231F20"/>
          <w:spacing w:val="3"/>
          <w:sz w:val="16"/>
        </w:rPr>
        <w:t>2017) </w:t>
      </w:r>
      <w:r>
        <w:rPr>
          <w:color w:val="231F20"/>
          <w:sz w:val="16"/>
        </w:rPr>
        <w:t>(vacating</w:t>
      </w:r>
      <w:r>
        <w:rPr>
          <w:color w:val="231F20"/>
          <w:spacing w:val="-19"/>
          <w:sz w:val="16"/>
        </w:rPr>
        <w:t> </w:t>
      </w:r>
      <w:r>
        <w:rPr>
          <w:color w:val="231F20"/>
          <w:sz w:val="16"/>
        </w:rPr>
        <w:t>trial</w:t>
      </w:r>
      <w:r>
        <w:rPr>
          <w:color w:val="231F20"/>
          <w:spacing w:val="-18"/>
          <w:sz w:val="16"/>
        </w:rPr>
        <w:t> </w:t>
      </w:r>
      <w:r>
        <w:rPr>
          <w:color w:val="231F20"/>
          <w:sz w:val="16"/>
        </w:rPr>
        <w:t>court</w:t>
      </w:r>
      <w:r>
        <w:rPr>
          <w:color w:val="231F20"/>
          <w:spacing w:val="-18"/>
          <w:sz w:val="16"/>
        </w:rPr>
        <w:t> </w:t>
      </w:r>
      <w:r>
        <w:rPr>
          <w:color w:val="231F20"/>
          <w:sz w:val="16"/>
        </w:rPr>
        <w:t>dismissal</w:t>
      </w:r>
      <w:r>
        <w:rPr>
          <w:color w:val="231F20"/>
          <w:spacing w:val="-18"/>
          <w:sz w:val="16"/>
        </w:rPr>
        <w:t> </w:t>
      </w:r>
      <w:r>
        <w:rPr>
          <w:color w:val="231F20"/>
          <w:sz w:val="16"/>
        </w:rPr>
        <w:t>of</w:t>
      </w:r>
      <w:r>
        <w:rPr>
          <w:color w:val="231F20"/>
          <w:spacing w:val="-18"/>
          <w:sz w:val="16"/>
        </w:rPr>
        <w:t> </w:t>
      </w:r>
      <w:r>
        <w:rPr>
          <w:color w:val="231F20"/>
          <w:sz w:val="16"/>
        </w:rPr>
        <w:t>plaintiff’s</w:t>
      </w:r>
      <w:r>
        <w:rPr>
          <w:color w:val="231F20"/>
          <w:spacing w:val="-18"/>
          <w:sz w:val="16"/>
        </w:rPr>
        <w:t> </w:t>
      </w:r>
      <w:r>
        <w:rPr>
          <w:color w:val="231F20"/>
          <w:sz w:val="16"/>
        </w:rPr>
        <w:t>gender non-conformity claims but confirming dismissal of</w:t>
      </w:r>
      <w:r>
        <w:rPr>
          <w:color w:val="231F20"/>
          <w:spacing w:val="-13"/>
          <w:sz w:val="16"/>
        </w:rPr>
        <w:t> </w:t>
      </w:r>
      <w:r>
        <w:rPr>
          <w:color w:val="231F20"/>
          <w:sz w:val="16"/>
        </w:rPr>
        <w:t>claims</w:t>
      </w:r>
      <w:r>
        <w:rPr>
          <w:color w:val="231F20"/>
          <w:spacing w:val="-14"/>
          <w:sz w:val="16"/>
        </w:rPr>
        <w:t> </w:t>
      </w:r>
      <w:r>
        <w:rPr>
          <w:color w:val="231F20"/>
          <w:sz w:val="16"/>
        </w:rPr>
        <w:t>for</w:t>
      </w:r>
      <w:r>
        <w:rPr>
          <w:color w:val="231F20"/>
          <w:spacing w:val="-13"/>
          <w:sz w:val="16"/>
        </w:rPr>
        <w:t> </w:t>
      </w:r>
      <w:r>
        <w:rPr>
          <w:color w:val="231F20"/>
          <w:sz w:val="16"/>
        </w:rPr>
        <w:t>discrimination</w:t>
      </w:r>
      <w:r>
        <w:rPr>
          <w:color w:val="231F20"/>
          <w:spacing w:val="-13"/>
          <w:sz w:val="16"/>
        </w:rPr>
        <w:t> </w:t>
      </w:r>
      <w:r>
        <w:rPr>
          <w:color w:val="231F20"/>
          <w:sz w:val="16"/>
        </w:rPr>
        <w:t>and</w:t>
      </w:r>
      <w:r>
        <w:rPr>
          <w:color w:val="231F20"/>
          <w:spacing w:val="-13"/>
          <w:sz w:val="16"/>
        </w:rPr>
        <w:t> </w:t>
      </w:r>
      <w:r>
        <w:rPr>
          <w:color w:val="231F20"/>
          <w:sz w:val="16"/>
        </w:rPr>
        <w:t>retaliation</w:t>
      </w:r>
      <w:r>
        <w:rPr>
          <w:color w:val="231F20"/>
          <w:spacing w:val="-13"/>
          <w:sz w:val="16"/>
        </w:rPr>
        <w:t> </w:t>
      </w:r>
      <w:r>
        <w:rPr>
          <w:color w:val="231F20"/>
          <w:sz w:val="16"/>
        </w:rPr>
        <w:t>based on sexual orientation). Recently the Fifth Circuit Court of Appeals joined the Eleventh Circuit in finding</w:t>
      </w:r>
      <w:r>
        <w:rPr>
          <w:color w:val="231F20"/>
          <w:spacing w:val="-11"/>
          <w:sz w:val="16"/>
        </w:rPr>
        <w:t> </w:t>
      </w:r>
      <w:r>
        <w:rPr>
          <w:color w:val="231F20"/>
          <w:sz w:val="16"/>
        </w:rPr>
        <w:t>that</w:t>
      </w:r>
      <w:r>
        <w:rPr>
          <w:color w:val="231F20"/>
          <w:spacing w:val="-14"/>
          <w:sz w:val="16"/>
        </w:rPr>
        <w:t> </w:t>
      </w:r>
      <w:r>
        <w:rPr>
          <w:color w:val="231F20"/>
          <w:sz w:val="16"/>
        </w:rPr>
        <w:t>Title</w:t>
      </w:r>
      <w:r>
        <w:rPr>
          <w:color w:val="231F20"/>
          <w:spacing w:val="-11"/>
          <w:sz w:val="16"/>
        </w:rPr>
        <w:t> </w:t>
      </w:r>
      <w:r>
        <w:rPr>
          <w:color w:val="231F20"/>
          <w:sz w:val="16"/>
        </w:rPr>
        <w:t>VII</w:t>
      </w:r>
      <w:r>
        <w:rPr>
          <w:color w:val="231F20"/>
          <w:spacing w:val="-10"/>
          <w:sz w:val="16"/>
        </w:rPr>
        <w:t> </w:t>
      </w:r>
      <w:r>
        <w:rPr>
          <w:color w:val="231F20"/>
          <w:sz w:val="16"/>
        </w:rPr>
        <w:t>does</w:t>
      </w:r>
      <w:r>
        <w:rPr>
          <w:color w:val="231F20"/>
          <w:spacing w:val="-11"/>
          <w:sz w:val="16"/>
        </w:rPr>
        <w:t> </w:t>
      </w:r>
      <w:r>
        <w:rPr>
          <w:color w:val="231F20"/>
          <w:sz w:val="16"/>
        </w:rPr>
        <w:t>not</w:t>
      </w:r>
      <w:r>
        <w:rPr>
          <w:color w:val="231F20"/>
          <w:spacing w:val="-11"/>
          <w:sz w:val="16"/>
        </w:rPr>
        <w:t> </w:t>
      </w:r>
      <w:r>
        <w:rPr>
          <w:color w:val="231F20"/>
          <w:sz w:val="16"/>
        </w:rPr>
        <w:t>prohibit</w:t>
      </w:r>
      <w:r>
        <w:rPr>
          <w:color w:val="231F20"/>
          <w:spacing w:val="-11"/>
          <w:sz w:val="16"/>
        </w:rPr>
        <w:t> </w:t>
      </w:r>
      <w:r>
        <w:rPr>
          <w:color w:val="231F20"/>
          <w:sz w:val="16"/>
        </w:rPr>
        <w:t>discrimina- tion on the basis of sexual orientation. </w:t>
      </w:r>
      <w:r>
        <w:rPr>
          <w:color w:val="231F20"/>
          <w:spacing w:val="8"/>
          <w:sz w:val="16"/>
        </w:rPr>
        <w:t> </w:t>
      </w:r>
      <w:r>
        <w:rPr>
          <w:i/>
          <w:color w:val="231F20"/>
          <w:sz w:val="16"/>
        </w:rPr>
        <w:t>Wittmer</w:t>
      </w:r>
    </w:p>
    <w:p>
      <w:pPr>
        <w:spacing w:line="252" w:lineRule="auto" w:before="8"/>
        <w:ind w:left="120" w:right="296" w:firstLine="0"/>
        <w:jc w:val="both"/>
        <w:rPr>
          <w:i/>
          <w:sz w:val="16"/>
        </w:rPr>
      </w:pPr>
      <w:r>
        <w:rPr>
          <w:i/>
          <w:color w:val="231F20"/>
          <w:spacing w:val="-6"/>
          <w:sz w:val="16"/>
        </w:rPr>
        <w:t>v. </w:t>
      </w:r>
      <w:r>
        <w:rPr>
          <w:i/>
          <w:color w:val="231F20"/>
          <w:sz w:val="16"/>
        </w:rPr>
        <w:t>Phillips 66 Co.</w:t>
      </w:r>
      <w:r>
        <w:rPr>
          <w:color w:val="231F20"/>
          <w:sz w:val="16"/>
        </w:rPr>
        <w:t>,</w:t>
      </w:r>
      <w:r>
        <w:rPr>
          <w:color w:val="231F20"/>
          <w:sz w:val="16"/>
          <w:u w:val="single" w:color="221E1F"/>
        </w:rPr>
        <w:t> </w:t>
      </w:r>
      <w:r>
        <w:rPr>
          <w:color w:val="231F20"/>
          <w:sz w:val="16"/>
        </w:rPr>
        <w:t> </w:t>
      </w:r>
      <w:r>
        <w:rPr>
          <w:color w:val="231F20"/>
          <w:spacing w:val="-5"/>
          <w:sz w:val="16"/>
        </w:rPr>
        <w:t>F.3d</w:t>
      </w:r>
      <w:r>
        <w:rPr>
          <w:color w:val="231F20"/>
          <w:spacing w:val="-5"/>
          <w:sz w:val="16"/>
          <w:u w:val="single" w:color="221E1F"/>
        </w:rPr>
        <w:t> </w:t>
      </w:r>
      <w:r>
        <w:rPr>
          <w:color w:val="231F20"/>
          <w:spacing w:val="-5"/>
          <w:sz w:val="16"/>
        </w:rPr>
        <w:t> </w:t>
      </w:r>
      <w:r>
        <w:rPr>
          <w:color w:val="231F20"/>
          <w:sz w:val="16"/>
        </w:rPr>
        <w:t>, 2019 U.S. App.  LEXIS 3731 (5th </w:t>
      </w:r>
      <w:r>
        <w:rPr>
          <w:color w:val="231F20"/>
          <w:spacing w:val="-3"/>
          <w:sz w:val="16"/>
        </w:rPr>
        <w:t>Cir. </w:t>
      </w:r>
      <w:r>
        <w:rPr>
          <w:color w:val="231F20"/>
          <w:sz w:val="16"/>
        </w:rPr>
        <w:t>Feb. 6, 2019). In doing</w:t>
      </w:r>
      <w:r>
        <w:rPr>
          <w:color w:val="231F20"/>
          <w:spacing w:val="-30"/>
          <w:sz w:val="16"/>
        </w:rPr>
        <w:t> </w:t>
      </w:r>
      <w:r>
        <w:rPr>
          <w:color w:val="231F20"/>
          <w:sz w:val="16"/>
        </w:rPr>
        <w:t>so, the Fifth Circuit acknowledged that three other circuits—the Second, Sixth, and Seventh—had decided</w:t>
      </w:r>
      <w:r>
        <w:rPr>
          <w:color w:val="231F20"/>
          <w:spacing w:val="-15"/>
          <w:sz w:val="16"/>
        </w:rPr>
        <w:t> </w:t>
      </w:r>
      <w:r>
        <w:rPr>
          <w:color w:val="231F20"/>
          <w:sz w:val="16"/>
        </w:rPr>
        <w:t>the</w:t>
      </w:r>
      <w:r>
        <w:rPr>
          <w:color w:val="231F20"/>
          <w:spacing w:val="-15"/>
          <w:sz w:val="16"/>
        </w:rPr>
        <w:t> </w:t>
      </w:r>
      <w:r>
        <w:rPr>
          <w:color w:val="231F20"/>
          <w:sz w:val="16"/>
        </w:rPr>
        <w:t>question</w:t>
      </w:r>
      <w:r>
        <w:rPr>
          <w:color w:val="231F20"/>
          <w:spacing w:val="-15"/>
          <w:sz w:val="16"/>
        </w:rPr>
        <w:t> </w:t>
      </w:r>
      <w:r>
        <w:rPr>
          <w:color w:val="231F20"/>
          <w:sz w:val="16"/>
        </w:rPr>
        <w:t>the</w:t>
      </w:r>
      <w:r>
        <w:rPr>
          <w:color w:val="231F20"/>
          <w:spacing w:val="-15"/>
          <w:sz w:val="16"/>
        </w:rPr>
        <w:t> </w:t>
      </w:r>
      <w:r>
        <w:rPr>
          <w:color w:val="231F20"/>
          <w:sz w:val="16"/>
        </w:rPr>
        <w:t>other</w:t>
      </w:r>
      <w:r>
        <w:rPr>
          <w:color w:val="231F20"/>
          <w:spacing w:val="-15"/>
          <w:sz w:val="16"/>
        </w:rPr>
        <w:t> </w:t>
      </w:r>
      <w:r>
        <w:rPr>
          <w:color w:val="231F20"/>
          <w:spacing w:val="-4"/>
          <w:sz w:val="16"/>
        </w:rPr>
        <w:t>way.</w:t>
      </w:r>
      <w:r>
        <w:rPr>
          <w:color w:val="231F20"/>
          <w:spacing w:val="-14"/>
          <w:sz w:val="16"/>
        </w:rPr>
        <w:t> </w:t>
      </w:r>
      <w:r>
        <w:rPr>
          <w:i/>
          <w:color w:val="231F20"/>
          <w:sz w:val="16"/>
        </w:rPr>
        <w:t>See</w:t>
      </w:r>
      <w:r>
        <w:rPr>
          <w:i/>
          <w:color w:val="231F20"/>
          <w:spacing w:val="-15"/>
          <w:sz w:val="16"/>
        </w:rPr>
        <w:t> </w:t>
      </w:r>
      <w:r>
        <w:rPr>
          <w:i/>
          <w:color w:val="231F20"/>
          <w:sz w:val="16"/>
        </w:rPr>
        <w:t>Zarda</w:t>
      </w:r>
      <w:r>
        <w:rPr>
          <w:i/>
          <w:color w:val="231F20"/>
          <w:spacing w:val="-15"/>
          <w:sz w:val="16"/>
        </w:rPr>
        <w:t> </w:t>
      </w:r>
      <w:r>
        <w:rPr>
          <w:i/>
          <w:color w:val="231F20"/>
          <w:spacing w:val="-7"/>
          <w:sz w:val="16"/>
        </w:rPr>
        <w:t>v. </w:t>
      </w:r>
      <w:r>
        <w:rPr>
          <w:i/>
          <w:color w:val="231F20"/>
          <w:sz w:val="16"/>
        </w:rPr>
        <w:t>Altitude</w:t>
      </w:r>
      <w:r>
        <w:rPr>
          <w:i/>
          <w:color w:val="231F20"/>
          <w:spacing w:val="-22"/>
          <w:sz w:val="16"/>
        </w:rPr>
        <w:t> </w:t>
      </w:r>
      <w:r>
        <w:rPr>
          <w:i/>
          <w:color w:val="231F20"/>
          <w:sz w:val="16"/>
        </w:rPr>
        <w:t>Express,</w:t>
      </w:r>
      <w:r>
        <w:rPr>
          <w:i/>
          <w:color w:val="231F20"/>
          <w:spacing w:val="-21"/>
          <w:sz w:val="16"/>
        </w:rPr>
        <w:t> </w:t>
      </w:r>
      <w:r>
        <w:rPr>
          <w:i/>
          <w:color w:val="231F20"/>
          <w:sz w:val="16"/>
        </w:rPr>
        <w:t>Inc.,</w:t>
      </w:r>
      <w:r>
        <w:rPr>
          <w:i/>
          <w:color w:val="231F20"/>
          <w:spacing w:val="-22"/>
          <w:sz w:val="16"/>
        </w:rPr>
        <w:t> </w:t>
      </w:r>
      <w:r>
        <w:rPr>
          <w:color w:val="231F20"/>
          <w:sz w:val="16"/>
        </w:rPr>
        <w:t>883</w:t>
      </w:r>
      <w:r>
        <w:rPr>
          <w:color w:val="231F20"/>
          <w:spacing w:val="-21"/>
          <w:sz w:val="16"/>
        </w:rPr>
        <w:t> </w:t>
      </w:r>
      <w:r>
        <w:rPr>
          <w:color w:val="231F20"/>
          <w:spacing w:val="-6"/>
          <w:sz w:val="16"/>
        </w:rPr>
        <w:t>F.3d</w:t>
      </w:r>
      <w:r>
        <w:rPr>
          <w:color w:val="231F20"/>
          <w:spacing w:val="-22"/>
          <w:sz w:val="16"/>
        </w:rPr>
        <w:t> </w:t>
      </w:r>
      <w:r>
        <w:rPr>
          <w:color w:val="231F20"/>
          <w:sz w:val="16"/>
        </w:rPr>
        <w:t>100</w:t>
      </w:r>
      <w:r>
        <w:rPr>
          <w:color w:val="231F20"/>
          <w:spacing w:val="-21"/>
          <w:sz w:val="16"/>
        </w:rPr>
        <w:t> </w:t>
      </w:r>
      <w:r>
        <w:rPr>
          <w:color w:val="231F20"/>
          <w:sz w:val="16"/>
        </w:rPr>
        <w:t>(2d</w:t>
      </w:r>
      <w:r>
        <w:rPr>
          <w:color w:val="231F20"/>
          <w:spacing w:val="-22"/>
          <w:sz w:val="16"/>
        </w:rPr>
        <w:t> </w:t>
      </w:r>
      <w:r>
        <w:rPr>
          <w:color w:val="231F20"/>
          <w:spacing w:val="-4"/>
          <w:sz w:val="16"/>
        </w:rPr>
        <w:t>Cir.</w:t>
      </w:r>
      <w:r>
        <w:rPr>
          <w:color w:val="231F20"/>
          <w:spacing w:val="-21"/>
          <w:sz w:val="16"/>
        </w:rPr>
        <w:t> </w:t>
      </w:r>
      <w:r>
        <w:rPr>
          <w:color w:val="231F20"/>
          <w:sz w:val="16"/>
        </w:rPr>
        <w:t>2018) (en banc); </w:t>
      </w:r>
      <w:r>
        <w:rPr>
          <w:i/>
          <w:color w:val="231F20"/>
          <w:sz w:val="16"/>
        </w:rPr>
        <w:t>EEOC </w:t>
      </w:r>
      <w:r>
        <w:rPr>
          <w:i/>
          <w:color w:val="231F20"/>
          <w:spacing w:val="-6"/>
          <w:sz w:val="16"/>
        </w:rPr>
        <w:t>v. </w:t>
      </w:r>
      <w:r>
        <w:rPr>
          <w:i/>
          <w:color w:val="231F20"/>
          <w:sz w:val="16"/>
        </w:rPr>
        <w:t>R.G. &amp; G.R. Harris Funeral </w:t>
      </w:r>
      <w:r>
        <w:rPr>
          <w:i/>
          <w:color w:val="231F20"/>
          <w:sz w:val="16"/>
        </w:rPr>
        <w:t>Homes,</w:t>
      </w:r>
      <w:r>
        <w:rPr>
          <w:i/>
          <w:color w:val="231F20"/>
          <w:spacing w:val="-15"/>
          <w:sz w:val="16"/>
        </w:rPr>
        <w:t> </w:t>
      </w:r>
      <w:r>
        <w:rPr>
          <w:i/>
          <w:color w:val="231F20"/>
          <w:sz w:val="16"/>
        </w:rPr>
        <w:t>Inc.</w:t>
      </w:r>
      <w:r>
        <w:rPr>
          <w:color w:val="231F20"/>
          <w:sz w:val="16"/>
        </w:rPr>
        <w:t>,</w:t>
      </w:r>
      <w:r>
        <w:rPr>
          <w:color w:val="231F20"/>
          <w:spacing w:val="-14"/>
          <w:sz w:val="16"/>
        </w:rPr>
        <w:t> </w:t>
      </w:r>
      <w:r>
        <w:rPr>
          <w:color w:val="231F20"/>
          <w:sz w:val="16"/>
        </w:rPr>
        <w:t>884</w:t>
      </w:r>
      <w:r>
        <w:rPr>
          <w:color w:val="231F20"/>
          <w:spacing w:val="-14"/>
          <w:sz w:val="16"/>
        </w:rPr>
        <w:t> </w:t>
      </w:r>
      <w:r>
        <w:rPr>
          <w:color w:val="231F20"/>
          <w:spacing w:val="-5"/>
          <w:sz w:val="16"/>
        </w:rPr>
        <w:t>F.3d</w:t>
      </w:r>
      <w:r>
        <w:rPr>
          <w:color w:val="231F20"/>
          <w:spacing w:val="-14"/>
          <w:sz w:val="16"/>
        </w:rPr>
        <w:t> </w:t>
      </w:r>
      <w:r>
        <w:rPr>
          <w:color w:val="231F20"/>
          <w:sz w:val="16"/>
        </w:rPr>
        <w:t>560</w:t>
      </w:r>
      <w:r>
        <w:rPr>
          <w:color w:val="231F20"/>
          <w:spacing w:val="-14"/>
          <w:sz w:val="16"/>
        </w:rPr>
        <w:t> </w:t>
      </w:r>
      <w:r>
        <w:rPr>
          <w:color w:val="231F20"/>
          <w:sz w:val="16"/>
        </w:rPr>
        <w:t>(6th</w:t>
      </w:r>
      <w:r>
        <w:rPr>
          <w:color w:val="231F20"/>
          <w:spacing w:val="-14"/>
          <w:sz w:val="16"/>
        </w:rPr>
        <w:t> </w:t>
      </w:r>
      <w:r>
        <w:rPr>
          <w:color w:val="231F20"/>
          <w:spacing w:val="-3"/>
          <w:sz w:val="16"/>
        </w:rPr>
        <w:t>Cir.</w:t>
      </w:r>
      <w:r>
        <w:rPr>
          <w:color w:val="231F20"/>
          <w:spacing w:val="-14"/>
          <w:sz w:val="16"/>
        </w:rPr>
        <w:t> </w:t>
      </w:r>
      <w:r>
        <w:rPr>
          <w:color w:val="231F20"/>
          <w:sz w:val="16"/>
        </w:rPr>
        <w:t>2018);</w:t>
      </w:r>
      <w:r>
        <w:rPr>
          <w:color w:val="231F20"/>
          <w:spacing w:val="-14"/>
          <w:sz w:val="16"/>
        </w:rPr>
        <w:t> </w:t>
      </w:r>
      <w:r>
        <w:rPr>
          <w:i/>
          <w:color w:val="231F20"/>
          <w:sz w:val="16"/>
        </w:rPr>
        <w:t>Hively</w:t>
      </w:r>
    </w:p>
    <w:p>
      <w:pPr>
        <w:pStyle w:val="ListParagraph"/>
        <w:numPr>
          <w:ilvl w:val="0"/>
          <w:numId w:val="2"/>
        </w:numPr>
        <w:tabs>
          <w:tab w:pos="275" w:val="left" w:leader="none"/>
        </w:tabs>
        <w:spacing w:line="252" w:lineRule="auto" w:before="5" w:after="0"/>
        <w:ind w:left="120" w:right="298" w:firstLine="0"/>
        <w:jc w:val="both"/>
        <w:rPr>
          <w:sz w:val="16"/>
        </w:rPr>
      </w:pPr>
      <w:r>
        <w:rPr>
          <w:i/>
          <w:color w:val="231F20"/>
          <w:sz w:val="16"/>
        </w:rPr>
        <w:t>Ivy </w:t>
      </w:r>
      <w:r>
        <w:rPr>
          <w:i/>
          <w:color w:val="231F20"/>
          <w:spacing w:val="-5"/>
          <w:sz w:val="16"/>
        </w:rPr>
        <w:t>Tech </w:t>
      </w:r>
      <w:r>
        <w:rPr>
          <w:i/>
          <w:color w:val="231F20"/>
          <w:spacing w:val="-3"/>
          <w:sz w:val="16"/>
        </w:rPr>
        <w:t>Cmty. </w:t>
      </w:r>
      <w:r>
        <w:rPr>
          <w:i/>
          <w:color w:val="231F20"/>
          <w:sz w:val="16"/>
        </w:rPr>
        <w:t>Coll. of Ind.</w:t>
      </w:r>
      <w:r>
        <w:rPr>
          <w:color w:val="231F20"/>
          <w:sz w:val="16"/>
        </w:rPr>
        <w:t>, 853 </w:t>
      </w:r>
      <w:r>
        <w:rPr>
          <w:color w:val="231F20"/>
          <w:spacing w:val="-5"/>
          <w:sz w:val="16"/>
        </w:rPr>
        <w:t>F.3d </w:t>
      </w:r>
      <w:r>
        <w:rPr>
          <w:color w:val="231F20"/>
          <w:sz w:val="16"/>
        </w:rPr>
        <w:t>339 (7th </w:t>
      </w:r>
      <w:r>
        <w:rPr>
          <w:color w:val="231F20"/>
          <w:spacing w:val="-3"/>
          <w:sz w:val="16"/>
        </w:rPr>
        <w:t>Cir. </w:t>
      </w:r>
      <w:r>
        <w:rPr>
          <w:color w:val="231F20"/>
          <w:sz w:val="16"/>
        </w:rPr>
        <w:t>2017) (en</w:t>
      </w:r>
      <w:r>
        <w:rPr>
          <w:color w:val="231F20"/>
          <w:spacing w:val="1"/>
          <w:sz w:val="16"/>
        </w:rPr>
        <w:t> </w:t>
      </w:r>
      <w:r>
        <w:rPr>
          <w:color w:val="231F20"/>
          <w:sz w:val="16"/>
        </w:rPr>
        <w:t>banc).</w:t>
      </w:r>
    </w:p>
    <w:p>
      <w:pPr>
        <w:spacing w:line="252" w:lineRule="auto" w:before="41"/>
        <w:ind w:left="120" w:right="296" w:hanging="1"/>
        <w:jc w:val="both"/>
        <w:rPr>
          <w:sz w:val="16"/>
        </w:rPr>
      </w:pPr>
      <w:r>
        <w:rPr>
          <w:color w:val="231F20"/>
          <w:position w:val="5"/>
          <w:sz w:val="9"/>
        </w:rPr>
        <w:t>5 </w:t>
      </w:r>
      <w:r>
        <w:rPr>
          <w:color w:val="231F20"/>
          <w:sz w:val="16"/>
        </w:rPr>
        <w:t>This is not the first time these cases have been</w:t>
      </w:r>
      <w:r>
        <w:rPr>
          <w:color w:val="231F20"/>
          <w:spacing w:val="-10"/>
          <w:sz w:val="16"/>
        </w:rPr>
        <w:t> </w:t>
      </w:r>
      <w:r>
        <w:rPr>
          <w:color w:val="231F20"/>
          <w:sz w:val="16"/>
        </w:rPr>
        <w:t>scheduled</w:t>
      </w:r>
      <w:r>
        <w:rPr>
          <w:color w:val="231F20"/>
          <w:spacing w:val="-9"/>
          <w:sz w:val="16"/>
        </w:rPr>
        <w:t> </w:t>
      </w:r>
      <w:r>
        <w:rPr>
          <w:color w:val="231F20"/>
          <w:sz w:val="16"/>
        </w:rPr>
        <w:t>for</w:t>
      </w:r>
      <w:r>
        <w:rPr>
          <w:color w:val="231F20"/>
          <w:spacing w:val="-9"/>
          <w:sz w:val="16"/>
        </w:rPr>
        <w:t> </w:t>
      </w:r>
      <w:r>
        <w:rPr>
          <w:color w:val="231F20"/>
          <w:sz w:val="16"/>
        </w:rPr>
        <w:t>conference,</w:t>
      </w:r>
      <w:r>
        <w:rPr>
          <w:color w:val="231F20"/>
          <w:spacing w:val="-9"/>
          <w:sz w:val="16"/>
        </w:rPr>
        <w:t> </w:t>
      </w:r>
      <w:r>
        <w:rPr>
          <w:color w:val="231F20"/>
          <w:sz w:val="16"/>
        </w:rPr>
        <w:t>only</w:t>
      </w:r>
      <w:r>
        <w:rPr>
          <w:color w:val="231F20"/>
          <w:spacing w:val="-10"/>
          <w:sz w:val="16"/>
        </w:rPr>
        <w:t> </w:t>
      </w:r>
      <w:r>
        <w:rPr>
          <w:color w:val="231F20"/>
          <w:sz w:val="16"/>
        </w:rPr>
        <w:t>to</w:t>
      </w:r>
      <w:r>
        <w:rPr>
          <w:color w:val="231F20"/>
          <w:spacing w:val="-9"/>
          <w:sz w:val="16"/>
        </w:rPr>
        <w:t> </w:t>
      </w:r>
      <w:r>
        <w:rPr>
          <w:color w:val="231F20"/>
          <w:sz w:val="16"/>
        </w:rPr>
        <w:t>have</w:t>
      </w:r>
      <w:r>
        <w:rPr>
          <w:color w:val="231F20"/>
          <w:spacing w:val="-9"/>
          <w:sz w:val="16"/>
        </w:rPr>
        <w:t> </w:t>
      </w:r>
      <w:r>
        <w:rPr>
          <w:color w:val="231F20"/>
          <w:sz w:val="16"/>
        </w:rPr>
        <w:t>the discussion postponed. </w:t>
      </w:r>
      <w:r>
        <w:rPr>
          <w:i/>
          <w:color w:val="231F20"/>
          <w:sz w:val="16"/>
        </w:rPr>
        <w:t>See </w:t>
      </w:r>
      <w:r>
        <w:rPr>
          <w:color w:val="231F20"/>
          <w:sz w:val="16"/>
        </w:rPr>
        <w:t>https://www.scotus- blog.com/case-files/cases/altitude-express-inc- v-zarda/.</w:t>
      </w:r>
    </w:p>
    <w:p>
      <w:pPr>
        <w:spacing w:line="252" w:lineRule="auto" w:before="42"/>
        <w:ind w:left="120" w:right="295" w:hanging="1"/>
        <w:jc w:val="both"/>
        <w:rPr>
          <w:sz w:val="16"/>
        </w:rPr>
      </w:pPr>
      <w:r>
        <w:rPr>
          <w:color w:val="231F20"/>
          <w:position w:val="5"/>
          <w:sz w:val="9"/>
        </w:rPr>
        <w:t>6 </w:t>
      </w:r>
      <w:r>
        <w:rPr>
          <w:i/>
          <w:color w:val="231F20"/>
          <w:sz w:val="16"/>
        </w:rPr>
        <w:t>See </w:t>
      </w:r>
      <w:hyperlink r:id="rId18">
        <w:r>
          <w:rPr>
            <w:color w:val="231F20"/>
            <w:sz w:val="16"/>
          </w:rPr>
          <w:t>https://www.scotusblog.com/case-files/</w:t>
        </w:r>
      </w:hyperlink>
      <w:r>
        <w:rPr>
          <w:color w:val="231F20"/>
          <w:sz w:val="16"/>
        </w:rPr>
        <w:t> cases/r-g-g-r-harris-funeral-homes-inc-v-equal- opportunity-employment-commission/.</w:t>
      </w:r>
    </w:p>
    <w:p>
      <w:pPr>
        <w:spacing w:before="42"/>
        <w:ind w:left="119" w:right="0" w:firstLine="0"/>
        <w:jc w:val="both"/>
        <w:rPr>
          <w:sz w:val="16"/>
        </w:rPr>
      </w:pPr>
      <w:r>
        <w:rPr>
          <w:color w:val="231F20"/>
          <w:position w:val="5"/>
          <w:sz w:val="9"/>
        </w:rPr>
        <w:t>7 </w:t>
      </w:r>
      <w:r>
        <w:rPr>
          <w:color w:val="231F20"/>
          <w:sz w:val="16"/>
        </w:rPr>
        <w:t>576 U.S. (2015).</w:t>
      </w:r>
    </w:p>
    <w:p>
      <w:pPr>
        <w:spacing w:line="252" w:lineRule="auto" w:before="50"/>
        <w:ind w:left="120" w:right="297" w:hanging="1"/>
        <w:jc w:val="both"/>
        <w:rPr>
          <w:sz w:val="16"/>
        </w:rPr>
      </w:pPr>
      <w:r>
        <w:rPr>
          <w:color w:val="231F20"/>
          <w:position w:val="5"/>
          <w:sz w:val="9"/>
        </w:rPr>
        <w:t>8 </w:t>
      </w:r>
      <w:r>
        <w:rPr>
          <w:i/>
          <w:color w:val="231F20"/>
          <w:sz w:val="16"/>
        </w:rPr>
        <w:t>See, e.g., Coleman </w:t>
      </w:r>
      <w:r>
        <w:rPr>
          <w:i/>
          <w:color w:val="231F20"/>
          <w:spacing w:val="-6"/>
          <w:sz w:val="16"/>
        </w:rPr>
        <w:t>v. </w:t>
      </w:r>
      <w:r>
        <w:rPr>
          <w:i/>
          <w:color w:val="231F20"/>
          <w:sz w:val="16"/>
        </w:rPr>
        <w:t>Amerihealth Caritas</w:t>
      </w:r>
      <w:r>
        <w:rPr>
          <w:color w:val="231F20"/>
          <w:sz w:val="16"/>
        </w:rPr>
        <w:t>, 2017 U.S. Dist. LEXIS 85319 (E.D. Pa. June 2, 2017) (dismissing sexual orientation</w:t>
      </w:r>
      <w:r>
        <w:rPr>
          <w:color w:val="231F20"/>
          <w:spacing w:val="-32"/>
          <w:sz w:val="16"/>
        </w:rPr>
        <w:t> </w:t>
      </w:r>
      <w:r>
        <w:rPr>
          <w:color w:val="231F20"/>
          <w:sz w:val="16"/>
        </w:rPr>
        <w:t>discrimina- tion claims but granting leave to amend to</w:t>
      </w:r>
      <w:r>
        <w:rPr>
          <w:color w:val="231F20"/>
          <w:spacing w:val="-29"/>
          <w:sz w:val="16"/>
        </w:rPr>
        <w:t> </w:t>
      </w:r>
      <w:r>
        <w:rPr>
          <w:color w:val="231F20"/>
          <w:sz w:val="16"/>
        </w:rPr>
        <w:t>bring gender stereotyping</w:t>
      </w:r>
      <w:r>
        <w:rPr>
          <w:color w:val="231F20"/>
          <w:spacing w:val="-2"/>
          <w:sz w:val="16"/>
        </w:rPr>
        <w:t> </w:t>
      </w:r>
      <w:r>
        <w:rPr>
          <w:color w:val="231F20"/>
          <w:sz w:val="16"/>
        </w:rPr>
        <w:t>claim).</w:t>
      </w:r>
    </w:p>
    <w:p>
      <w:pPr>
        <w:spacing w:after="0" w:line="252" w:lineRule="auto"/>
        <w:jc w:val="both"/>
        <w:rPr>
          <w:sz w:val="16"/>
        </w:rPr>
        <w:sectPr>
          <w:type w:val="continuous"/>
          <w:pgSz w:w="12240" w:h="15840"/>
          <w:pgMar w:top="500" w:bottom="280" w:left="720" w:right="540"/>
          <w:cols w:num="3" w:equalWidth="0">
            <w:col w:w="3528" w:space="72"/>
            <w:col w:w="3525" w:space="75"/>
            <w:col w:w="3780"/>
          </w:cols>
        </w:sectPr>
      </w:pPr>
    </w:p>
    <w:p>
      <w:pPr>
        <w:pStyle w:val="BodyText"/>
      </w:pPr>
    </w:p>
    <w:p>
      <w:pPr>
        <w:pStyle w:val="BodyText"/>
        <w:spacing w:before="10"/>
        <w:rPr>
          <w:sz w:val="21"/>
        </w:rPr>
      </w:pPr>
    </w:p>
    <w:p>
      <w:pPr>
        <w:pStyle w:val="BodyText"/>
        <w:ind w:left="120"/>
      </w:pPr>
      <w:r>
        <w:rPr/>
        <w:pict>
          <v:group style="width:528pt;height:14pt;mso-position-horizontal-relative:char;mso-position-vertical-relative:line" coordorigin="0,0" coordsize="10560,280">
            <v:rect style="position:absolute;left:0;top:0;width:10560;height:280" filled="true" fillcolor="#c7c8ca" stroked="false">
              <v:fill type="solid"/>
            </v:rect>
          </v:group>
        </w:pict>
      </w:r>
      <w:r>
        <w:rPr/>
      </w:r>
    </w:p>
    <w:p>
      <w:pPr>
        <w:spacing w:after="0"/>
        <w:sectPr>
          <w:type w:val="continuous"/>
          <w:pgSz w:w="12240" w:h="15840"/>
          <w:pgMar w:top="500" w:bottom="280" w:left="720" w:right="540"/>
        </w:sectPr>
      </w:pPr>
    </w:p>
    <w:p>
      <w:pPr>
        <w:spacing w:line="189" w:lineRule="auto" w:before="186"/>
        <w:ind w:left="474" w:right="653" w:firstLine="0"/>
        <w:jc w:val="center"/>
        <w:rPr>
          <w:rFonts w:ascii="Arial Black" w:hAnsi="Arial Black"/>
          <w:sz w:val="48"/>
        </w:rPr>
      </w:pPr>
      <w:bookmarkStart w:name="_bookmark5" w:id="6"/>
      <w:bookmarkEnd w:id="6"/>
      <w:r>
        <w:rPr/>
      </w:r>
      <w:r>
        <w:rPr>
          <w:rFonts w:ascii="Arial Black" w:hAnsi="Arial Black"/>
          <w:color w:val="231F20"/>
          <w:sz w:val="48"/>
        </w:rPr>
        <w:t>NLRB Restores Previous Standard for Establishing Section 7 “Concerted Activity” Under the NLRA</w:t>
      </w:r>
    </w:p>
    <w:p>
      <w:pPr>
        <w:spacing w:before="123"/>
        <w:ind w:left="613" w:right="791" w:firstLine="0"/>
        <w:jc w:val="center"/>
        <w:rPr>
          <w:b/>
          <w:sz w:val="22"/>
        </w:rPr>
      </w:pPr>
      <w:r>
        <w:rPr>
          <w:b/>
          <w:color w:val="231F20"/>
          <w:sz w:val="22"/>
        </w:rPr>
        <w:t>By Benjamin Bard, Tampa</w:t>
      </w:r>
    </w:p>
    <w:p>
      <w:pPr>
        <w:pStyle w:val="BodyText"/>
        <w:spacing w:before="8"/>
        <w:rPr>
          <w:b/>
          <w:sz w:val="13"/>
        </w:rPr>
      </w:pPr>
    </w:p>
    <w:p>
      <w:pPr>
        <w:spacing w:after="0"/>
        <w:rPr>
          <w:sz w:val="13"/>
        </w:rPr>
        <w:sectPr>
          <w:headerReference w:type="default" r:id="rId19"/>
          <w:footerReference w:type="default" r:id="rId20"/>
          <w:pgSz w:w="12240" w:h="15840"/>
          <w:pgMar w:header="0" w:footer="558" w:top="700" w:bottom="740" w:left="720" w:right="540"/>
          <w:pgNumType w:start="5"/>
        </w:sectPr>
      </w:pPr>
    </w:p>
    <w:p>
      <w:pPr>
        <w:pStyle w:val="BodyText"/>
        <w:spacing w:line="254" w:lineRule="auto" w:before="94"/>
        <w:ind w:left="120" w:right="43" w:firstLine="180"/>
        <w:jc w:val="both"/>
      </w:pPr>
      <w:r>
        <w:rPr>
          <w:color w:val="231F20"/>
        </w:rPr>
        <w:t>A</w:t>
      </w:r>
      <w:r>
        <w:rPr>
          <w:color w:val="231F20"/>
          <w:spacing w:val="-32"/>
        </w:rPr>
        <w:t> </w:t>
      </w:r>
      <w:r>
        <w:rPr>
          <w:color w:val="231F20"/>
        </w:rPr>
        <w:t>contractor</w:t>
      </w:r>
      <w:r>
        <w:rPr>
          <w:color w:val="231F20"/>
          <w:spacing w:val="-23"/>
        </w:rPr>
        <w:t> </w:t>
      </w:r>
      <w:r>
        <w:rPr>
          <w:color w:val="231F20"/>
        </w:rPr>
        <w:t>providing</w:t>
      </w:r>
      <w:r>
        <w:rPr>
          <w:color w:val="231F20"/>
          <w:spacing w:val="-23"/>
        </w:rPr>
        <w:t> </w:t>
      </w:r>
      <w:r>
        <w:rPr>
          <w:color w:val="231F20"/>
        </w:rPr>
        <w:t>ground</w:t>
      </w:r>
      <w:r>
        <w:rPr>
          <w:color w:val="231F20"/>
          <w:spacing w:val="-22"/>
        </w:rPr>
        <w:t> </w:t>
      </w:r>
      <w:r>
        <w:rPr>
          <w:color w:val="231F20"/>
        </w:rPr>
        <w:t>servic- es</w:t>
      </w:r>
      <w:r>
        <w:rPr>
          <w:color w:val="231F20"/>
          <w:spacing w:val="-20"/>
        </w:rPr>
        <w:t> </w:t>
      </w:r>
      <w:r>
        <w:rPr>
          <w:color w:val="231F20"/>
        </w:rPr>
        <w:t>at</w:t>
      </w:r>
      <w:r>
        <w:rPr>
          <w:color w:val="231F20"/>
          <w:spacing w:val="-19"/>
        </w:rPr>
        <w:t> </w:t>
      </w:r>
      <w:r>
        <w:rPr>
          <w:color w:val="231F20"/>
        </w:rPr>
        <w:t>an</w:t>
      </w:r>
      <w:r>
        <w:rPr>
          <w:color w:val="231F20"/>
          <w:spacing w:val="-20"/>
        </w:rPr>
        <w:t> </w:t>
      </w:r>
      <w:r>
        <w:rPr>
          <w:color w:val="231F20"/>
          <w:spacing w:val="-3"/>
        </w:rPr>
        <w:t>international</w:t>
      </w:r>
      <w:r>
        <w:rPr>
          <w:color w:val="231F20"/>
          <w:spacing w:val="-19"/>
        </w:rPr>
        <w:t> </w:t>
      </w:r>
      <w:r>
        <w:rPr>
          <w:color w:val="231F20"/>
          <w:spacing w:val="-3"/>
        </w:rPr>
        <w:t>airport</w:t>
      </w:r>
      <w:r>
        <w:rPr>
          <w:color w:val="231F20"/>
          <w:spacing w:val="-20"/>
        </w:rPr>
        <w:t> </w:t>
      </w:r>
      <w:r>
        <w:rPr>
          <w:color w:val="231F20"/>
          <w:spacing w:val="-3"/>
        </w:rPr>
        <w:t>discharged </w:t>
      </w:r>
      <w:r>
        <w:rPr>
          <w:color w:val="231F20"/>
        </w:rPr>
        <w:t>a skycap employee after he grumbled to</w:t>
      </w:r>
      <w:r>
        <w:rPr>
          <w:color w:val="231F20"/>
          <w:spacing w:val="-19"/>
        </w:rPr>
        <w:t> </w:t>
      </w:r>
      <w:r>
        <w:rPr>
          <w:color w:val="231F20"/>
        </w:rPr>
        <w:t>a</w:t>
      </w:r>
      <w:r>
        <w:rPr>
          <w:color w:val="231F20"/>
          <w:spacing w:val="-18"/>
        </w:rPr>
        <w:t> </w:t>
      </w:r>
      <w:r>
        <w:rPr>
          <w:color w:val="231F20"/>
        </w:rPr>
        <w:t>supervisor</w:t>
      </w:r>
      <w:r>
        <w:rPr>
          <w:color w:val="231F20"/>
          <w:spacing w:val="-19"/>
        </w:rPr>
        <w:t> </w:t>
      </w:r>
      <w:r>
        <w:rPr>
          <w:color w:val="231F20"/>
        </w:rPr>
        <w:t>in</w:t>
      </w:r>
      <w:r>
        <w:rPr>
          <w:color w:val="231F20"/>
          <w:spacing w:val="-18"/>
        </w:rPr>
        <w:t> </w:t>
      </w:r>
      <w:r>
        <w:rPr>
          <w:color w:val="231F20"/>
        </w:rPr>
        <w:t>the</w:t>
      </w:r>
      <w:r>
        <w:rPr>
          <w:color w:val="231F20"/>
          <w:spacing w:val="-18"/>
        </w:rPr>
        <w:t> </w:t>
      </w:r>
      <w:r>
        <w:rPr>
          <w:color w:val="231F20"/>
        </w:rPr>
        <w:t>presence</w:t>
      </w:r>
      <w:r>
        <w:rPr>
          <w:color w:val="231F20"/>
          <w:spacing w:val="-19"/>
        </w:rPr>
        <w:t> </w:t>
      </w:r>
      <w:r>
        <w:rPr>
          <w:color w:val="231F20"/>
        </w:rPr>
        <w:t>of</w:t>
      </w:r>
      <w:r>
        <w:rPr>
          <w:color w:val="231F20"/>
          <w:spacing w:val="-18"/>
        </w:rPr>
        <w:t> </w:t>
      </w:r>
      <w:r>
        <w:rPr>
          <w:color w:val="231F20"/>
        </w:rPr>
        <w:t>three other skycaps about the lack of tips provided on a previous occasion by a soccer team that was again seeking assistance. Specifically, the</w:t>
      </w:r>
      <w:r>
        <w:rPr>
          <w:color w:val="231F20"/>
          <w:spacing w:val="-24"/>
        </w:rPr>
        <w:t> </w:t>
      </w:r>
      <w:r>
        <w:rPr>
          <w:color w:val="231F20"/>
        </w:rPr>
        <w:t>employee said:</w:t>
      </w:r>
      <w:r>
        <w:rPr>
          <w:color w:val="231F20"/>
          <w:spacing w:val="-6"/>
        </w:rPr>
        <w:t> </w:t>
      </w:r>
      <w:r>
        <w:rPr>
          <w:color w:val="231F20"/>
        </w:rPr>
        <w:t>“We</w:t>
      </w:r>
      <w:r>
        <w:rPr>
          <w:color w:val="231F20"/>
          <w:spacing w:val="-6"/>
        </w:rPr>
        <w:t> </w:t>
      </w:r>
      <w:r>
        <w:rPr>
          <w:color w:val="231F20"/>
        </w:rPr>
        <w:t>did</w:t>
      </w:r>
      <w:r>
        <w:rPr>
          <w:color w:val="231F20"/>
          <w:spacing w:val="-5"/>
        </w:rPr>
        <w:t> </w:t>
      </w:r>
      <w:r>
        <w:rPr>
          <w:color w:val="231F20"/>
        </w:rPr>
        <w:t>a</w:t>
      </w:r>
      <w:r>
        <w:rPr>
          <w:color w:val="231F20"/>
          <w:spacing w:val="-6"/>
        </w:rPr>
        <w:t> </w:t>
      </w:r>
      <w:r>
        <w:rPr>
          <w:color w:val="231F20"/>
        </w:rPr>
        <w:t>similar</w:t>
      </w:r>
      <w:r>
        <w:rPr>
          <w:color w:val="231F20"/>
          <w:spacing w:val="-5"/>
        </w:rPr>
        <w:t> </w:t>
      </w:r>
      <w:r>
        <w:rPr>
          <w:color w:val="231F20"/>
        </w:rPr>
        <w:t>job</w:t>
      </w:r>
      <w:r>
        <w:rPr>
          <w:color w:val="231F20"/>
          <w:spacing w:val="-6"/>
        </w:rPr>
        <w:t> </w:t>
      </w:r>
      <w:r>
        <w:rPr>
          <w:color w:val="231F20"/>
        </w:rPr>
        <w:t>a</w:t>
      </w:r>
      <w:r>
        <w:rPr>
          <w:color w:val="231F20"/>
          <w:spacing w:val="-6"/>
        </w:rPr>
        <w:t> </w:t>
      </w:r>
      <w:r>
        <w:rPr>
          <w:color w:val="231F20"/>
        </w:rPr>
        <w:t>year</w:t>
      </w:r>
      <w:r>
        <w:rPr>
          <w:color w:val="231F20"/>
          <w:spacing w:val="-5"/>
        </w:rPr>
        <w:t> </w:t>
      </w:r>
      <w:r>
        <w:rPr>
          <w:color w:val="231F20"/>
          <w:spacing w:val="-3"/>
        </w:rPr>
        <w:t>prior, </w:t>
      </w:r>
      <w:r>
        <w:rPr>
          <w:color w:val="231F20"/>
        </w:rPr>
        <w:t>and we didn’t receive a tip for</w:t>
      </w:r>
      <w:r>
        <w:rPr>
          <w:color w:val="231F20"/>
          <w:spacing w:val="-10"/>
        </w:rPr>
        <w:t> </w:t>
      </w:r>
      <w:r>
        <w:rPr>
          <w:color w:val="231F20"/>
        </w:rPr>
        <w:t>it.”</w:t>
      </w:r>
    </w:p>
    <w:p>
      <w:pPr>
        <w:pStyle w:val="BodyText"/>
        <w:spacing w:line="254" w:lineRule="auto"/>
        <w:ind w:left="119" w:right="38" w:firstLine="180"/>
        <w:jc w:val="both"/>
      </w:pPr>
      <w:r>
        <w:rPr/>
        <w:pict>
          <v:line style="position:absolute;mso-position-horizontal-relative:page;mso-position-vertical-relative:paragraph;z-index:251680768" from="222pt,225.300003pt" to="570pt,225.300003pt" stroked="true" strokeweight="3pt" strokecolor="#c7c8ca">
            <v:stroke dashstyle="solid"/>
            <w10:wrap type="none"/>
          </v:line>
        </w:pict>
      </w:r>
      <w:r>
        <w:rPr>
          <w:color w:val="231F20"/>
        </w:rPr>
        <w:t>A</w:t>
      </w:r>
      <w:r>
        <w:rPr>
          <w:color w:val="231F20"/>
          <w:spacing w:val="-21"/>
        </w:rPr>
        <w:t> </w:t>
      </w:r>
      <w:r>
        <w:rPr>
          <w:color w:val="231F20"/>
        </w:rPr>
        <w:t>complaint</w:t>
      </w:r>
      <w:r>
        <w:rPr>
          <w:color w:val="231F20"/>
          <w:spacing w:val="-9"/>
        </w:rPr>
        <w:t> </w:t>
      </w:r>
      <w:r>
        <w:rPr>
          <w:color w:val="231F20"/>
        </w:rPr>
        <w:t>was</w:t>
      </w:r>
      <w:r>
        <w:rPr>
          <w:color w:val="231F20"/>
          <w:spacing w:val="-10"/>
        </w:rPr>
        <w:t> </w:t>
      </w:r>
      <w:r>
        <w:rPr>
          <w:color w:val="231F20"/>
        </w:rPr>
        <w:t>issued</w:t>
      </w:r>
      <w:r>
        <w:rPr>
          <w:color w:val="231F20"/>
          <w:spacing w:val="-9"/>
        </w:rPr>
        <w:t> </w:t>
      </w:r>
      <w:r>
        <w:rPr>
          <w:color w:val="231F20"/>
        </w:rPr>
        <w:t>alleging</w:t>
      </w:r>
      <w:r>
        <w:rPr>
          <w:color w:val="231F20"/>
          <w:spacing w:val="-10"/>
        </w:rPr>
        <w:t> </w:t>
      </w:r>
      <w:r>
        <w:rPr>
          <w:color w:val="231F20"/>
        </w:rPr>
        <w:t>that </w:t>
      </w:r>
      <w:r>
        <w:rPr>
          <w:color w:val="231F20"/>
          <w:spacing w:val="2"/>
        </w:rPr>
        <w:t>the employee </w:t>
      </w:r>
      <w:r>
        <w:rPr>
          <w:color w:val="231F20"/>
        </w:rPr>
        <w:t>had </w:t>
      </w:r>
      <w:r>
        <w:rPr>
          <w:color w:val="231F20"/>
          <w:spacing w:val="2"/>
        </w:rPr>
        <w:t>been </w:t>
      </w:r>
      <w:r>
        <w:rPr>
          <w:color w:val="231F20"/>
          <w:spacing w:val="3"/>
        </w:rPr>
        <w:t>discharged </w:t>
      </w:r>
      <w:r>
        <w:rPr>
          <w:color w:val="231F20"/>
          <w:spacing w:val="6"/>
        </w:rPr>
        <w:t>for </w:t>
      </w:r>
      <w:r>
        <w:rPr>
          <w:color w:val="231F20"/>
          <w:spacing w:val="7"/>
        </w:rPr>
        <w:t>engaging </w:t>
      </w:r>
      <w:r>
        <w:rPr>
          <w:color w:val="231F20"/>
          <w:spacing w:val="4"/>
        </w:rPr>
        <w:t>in </w:t>
      </w:r>
      <w:r>
        <w:rPr>
          <w:color w:val="231F20"/>
          <w:spacing w:val="8"/>
        </w:rPr>
        <w:t>concerted </w:t>
      </w:r>
      <w:r>
        <w:rPr>
          <w:color w:val="231F20"/>
          <w:spacing w:val="9"/>
        </w:rPr>
        <w:t>activity </w:t>
      </w:r>
      <w:r>
        <w:rPr>
          <w:color w:val="231F20"/>
        </w:rPr>
        <w:t>protected by Section 7 of the National Labor Relations Act (NLRA). An ad- ministrative law judge dismissed the complaint, finding that the employee’s conduct was neither concerted activ- ity nor undertaken for the purpose of mutual aid or protection. In a January </w:t>
      </w:r>
      <w:r>
        <w:rPr>
          <w:color w:val="231F20"/>
          <w:spacing w:val="-6"/>
        </w:rPr>
        <w:t>11,</w:t>
      </w:r>
      <w:r>
        <w:rPr>
          <w:color w:val="231F20"/>
          <w:spacing w:val="-17"/>
        </w:rPr>
        <w:t> </w:t>
      </w:r>
      <w:r>
        <w:rPr>
          <w:color w:val="231F20"/>
        </w:rPr>
        <w:t>2019,</w:t>
      </w:r>
      <w:r>
        <w:rPr>
          <w:color w:val="231F20"/>
          <w:spacing w:val="-17"/>
        </w:rPr>
        <w:t> </w:t>
      </w:r>
      <w:r>
        <w:rPr>
          <w:color w:val="231F20"/>
        </w:rPr>
        <w:t>Decision</w:t>
      </w:r>
      <w:r>
        <w:rPr>
          <w:color w:val="231F20"/>
          <w:spacing w:val="-16"/>
        </w:rPr>
        <w:t> </w:t>
      </w:r>
      <w:r>
        <w:rPr>
          <w:color w:val="231F20"/>
        </w:rPr>
        <w:t>and</w:t>
      </w:r>
      <w:r>
        <w:rPr>
          <w:color w:val="231F20"/>
          <w:spacing w:val="-17"/>
        </w:rPr>
        <w:t> </w:t>
      </w:r>
      <w:r>
        <w:rPr>
          <w:color w:val="231F20"/>
        </w:rPr>
        <w:t>Order</w:t>
      </w:r>
      <w:r>
        <w:rPr>
          <w:color w:val="231F20"/>
          <w:spacing w:val="-17"/>
        </w:rPr>
        <w:t> </w:t>
      </w:r>
      <w:r>
        <w:rPr>
          <w:color w:val="231F20"/>
        </w:rPr>
        <w:t>issued</w:t>
      </w:r>
      <w:r>
        <w:rPr>
          <w:color w:val="231F20"/>
          <w:spacing w:val="-16"/>
        </w:rPr>
        <w:t> </w:t>
      </w:r>
      <w:r>
        <w:rPr>
          <w:color w:val="231F20"/>
        </w:rPr>
        <w:t>in </w:t>
      </w:r>
      <w:r>
        <w:rPr>
          <w:i/>
          <w:color w:val="231F20"/>
        </w:rPr>
        <w:t>Alstate Maintenance, LLC and </w:t>
      </w:r>
      <w:r>
        <w:rPr>
          <w:i/>
          <w:color w:val="231F20"/>
          <w:spacing w:val="-3"/>
        </w:rPr>
        <w:t>Trevor </w:t>
      </w:r>
      <w:r>
        <w:rPr>
          <w:i/>
          <w:color w:val="231F20"/>
          <w:spacing w:val="-3"/>
        </w:rPr>
        <w:t>Greenidge</w:t>
      </w:r>
      <w:r>
        <w:rPr>
          <w:color w:val="231F20"/>
          <w:spacing w:val="-3"/>
          <w:position w:val="7"/>
          <w:sz w:val="12"/>
        </w:rPr>
        <w:t>1 </w:t>
      </w:r>
      <w:r>
        <w:rPr>
          <w:color w:val="231F20"/>
        </w:rPr>
        <w:t>by</w:t>
      </w:r>
      <w:r>
        <w:rPr>
          <w:color w:val="231F20"/>
          <w:spacing w:val="-42"/>
        </w:rPr>
        <w:t> </w:t>
      </w:r>
      <w:r>
        <w:rPr>
          <w:color w:val="231F20"/>
          <w:spacing w:val="-3"/>
        </w:rPr>
        <w:t>Chairman Ring, Member </w:t>
      </w:r>
      <w:r>
        <w:rPr>
          <w:color w:val="231F20"/>
          <w:spacing w:val="4"/>
        </w:rPr>
        <w:t>Kaplan, </w:t>
      </w:r>
      <w:r>
        <w:rPr>
          <w:color w:val="231F20"/>
          <w:spacing w:val="3"/>
        </w:rPr>
        <w:t>and </w:t>
      </w:r>
      <w:r>
        <w:rPr>
          <w:color w:val="231F20"/>
          <w:spacing w:val="4"/>
        </w:rPr>
        <w:t>Member Emanuel, </w:t>
      </w:r>
      <w:r>
        <w:rPr>
          <w:color w:val="231F20"/>
          <w:spacing w:val="5"/>
        </w:rPr>
        <w:t>the </w:t>
      </w:r>
      <w:r>
        <w:rPr>
          <w:color w:val="231F20"/>
        </w:rPr>
        <w:t>National Labor Relations Board (the </w:t>
      </w:r>
      <w:r>
        <w:rPr>
          <w:color w:val="231F20"/>
          <w:spacing w:val="4"/>
        </w:rPr>
        <w:t>Board) adopted </w:t>
      </w:r>
      <w:r>
        <w:rPr>
          <w:color w:val="231F20"/>
          <w:spacing w:val="3"/>
        </w:rPr>
        <w:t>the judge’s </w:t>
      </w:r>
      <w:r>
        <w:rPr>
          <w:color w:val="231F20"/>
          <w:spacing w:val="4"/>
        </w:rPr>
        <w:t>recom- </w:t>
      </w:r>
      <w:r>
        <w:rPr>
          <w:color w:val="231F20"/>
        </w:rPr>
        <w:t>mended order, with Member McFer- ran dissenting. In so doing, the Board overruled decisions, including </w:t>
      </w:r>
      <w:r>
        <w:rPr>
          <w:i/>
          <w:color w:val="231F20"/>
        </w:rPr>
        <w:t>World- </w:t>
      </w:r>
      <w:r>
        <w:rPr>
          <w:i/>
          <w:color w:val="231F20"/>
        </w:rPr>
        <w:t>mark by Wyndham</w:t>
      </w:r>
      <w:r>
        <w:rPr>
          <w:color w:val="231F20"/>
        </w:rPr>
        <w:t>,</w:t>
      </w:r>
      <w:r>
        <w:rPr>
          <w:color w:val="231F20"/>
          <w:position w:val="7"/>
          <w:sz w:val="12"/>
        </w:rPr>
        <w:t>2 </w:t>
      </w:r>
      <w:r>
        <w:rPr>
          <w:color w:val="231F20"/>
        </w:rPr>
        <w:t>that had deviated from the standards established in the </w:t>
      </w:r>
      <w:r>
        <w:rPr>
          <w:i/>
          <w:color w:val="231F20"/>
        </w:rPr>
        <w:t>Meyers Industries </w:t>
      </w:r>
      <w:r>
        <w:rPr>
          <w:color w:val="231F20"/>
        </w:rPr>
        <w:t>line of</w:t>
      </w:r>
      <w:r>
        <w:rPr>
          <w:color w:val="231F20"/>
          <w:spacing w:val="18"/>
        </w:rPr>
        <w:t> </w:t>
      </w:r>
      <w:r>
        <w:rPr>
          <w:color w:val="231F20"/>
        </w:rPr>
        <w:t>cases.</w:t>
      </w:r>
      <w:r>
        <w:rPr>
          <w:color w:val="231F20"/>
          <w:position w:val="7"/>
          <w:sz w:val="12"/>
        </w:rPr>
        <w:t>3 </w:t>
      </w:r>
      <w:r>
        <w:rPr>
          <w:color w:val="231F20"/>
        </w:rPr>
        <w:t>The</w:t>
      </w:r>
    </w:p>
    <w:p>
      <w:pPr>
        <w:pStyle w:val="BodyText"/>
        <w:spacing w:line="259" w:lineRule="auto" w:before="94"/>
        <w:ind w:left="120" w:right="38" w:hanging="1"/>
        <w:jc w:val="both"/>
      </w:pPr>
      <w:r>
        <w:rPr/>
        <w:br w:type="column"/>
      </w:r>
      <w:r>
        <w:rPr>
          <w:color w:val="231F20"/>
        </w:rPr>
        <w:t>first-person</w:t>
      </w:r>
      <w:r>
        <w:rPr>
          <w:color w:val="231F20"/>
          <w:spacing w:val="-21"/>
        </w:rPr>
        <w:t> </w:t>
      </w:r>
      <w:r>
        <w:rPr>
          <w:color w:val="231F20"/>
        </w:rPr>
        <w:t>plural</w:t>
      </w:r>
      <w:r>
        <w:rPr>
          <w:color w:val="231F20"/>
          <w:spacing w:val="-21"/>
        </w:rPr>
        <w:t> </w:t>
      </w:r>
      <w:r>
        <w:rPr>
          <w:color w:val="231F20"/>
        </w:rPr>
        <w:t>pronoun.”</w:t>
      </w:r>
      <w:r>
        <w:rPr>
          <w:color w:val="231F20"/>
          <w:position w:val="7"/>
          <w:sz w:val="12"/>
        </w:rPr>
        <w:t>5</w:t>
      </w:r>
      <w:r>
        <w:rPr>
          <w:color w:val="231F20"/>
          <w:spacing w:val="-2"/>
          <w:position w:val="7"/>
          <w:sz w:val="12"/>
        </w:rPr>
        <w:t> </w:t>
      </w:r>
      <w:r>
        <w:rPr>
          <w:color w:val="231F20"/>
          <w:spacing w:val="-12"/>
        </w:rPr>
        <w:t>To</w:t>
      </w:r>
      <w:r>
        <w:rPr>
          <w:color w:val="231F20"/>
          <w:spacing w:val="-21"/>
        </w:rPr>
        <w:t> </w:t>
      </w:r>
      <w:r>
        <w:rPr>
          <w:color w:val="231F20"/>
        </w:rPr>
        <w:t>qualify as</w:t>
      </w:r>
      <w:r>
        <w:rPr>
          <w:color w:val="231F20"/>
          <w:spacing w:val="-24"/>
        </w:rPr>
        <w:t> </w:t>
      </w:r>
      <w:r>
        <w:rPr>
          <w:color w:val="231F20"/>
        </w:rPr>
        <w:t>concerted</w:t>
      </w:r>
      <w:r>
        <w:rPr>
          <w:color w:val="231F20"/>
          <w:spacing w:val="-24"/>
        </w:rPr>
        <w:t> </w:t>
      </w:r>
      <w:r>
        <w:rPr>
          <w:color w:val="231F20"/>
          <w:spacing w:val="-4"/>
        </w:rPr>
        <w:t>activity,</w:t>
      </w:r>
      <w:r>
        <w:rPr>
          <w:color w:val="231F20"/>
          <w:spacing w:val="-24"/>
        </w:rPr>
        <w:t> </w:t>
      </w:r>
      <w:r>
        <w:rPr>
          <w:color w:val="231F20"/>
        </w:rPr>
        <w:t>“an</w:t>
      </w:r>
      <w:r>
        <w:rPr>
          <w:color w:val="231F20"/>
          <w:spacing w:val="-24"/>
        </w:rPr>
        <w:t> </w:t>
      </w:r>
      <w:r>
        <w:rPr>
          <w:color w:val="231F20"/>
        </w:rPr>
        <w:t>individual</w:t>
      </w:r>
      <w:r>
        <w:rPr>
          <w:color w:val="231F20"/>
          <w:spacing w:val="-24"/>
        </w:rPr>
        <w:t> </w:t>
      </w:r>
      <w:r>
        <w:rPr>
          <w:color w:val="231F20"/>
        </w:rPr>
        <w:t>em- ployee’s statement to a supervisor or manager</w:t>
      </w:r>
      <w:r>
        <w:rPr>
          <w:color w:val="231F20"/>
          <w:spacing w:val="-26"/>
        </w:rPr>
        <w:t> </w:t>
      </w:r>
      <w:r>
        <w:rPr>
          <w:color w:val="231F20"/>
        </w:rPr>
        <w:t>must</w:t>
      </w:r>
      <w:r>
        <w:rPr>
          <w:color w:val="231F20"/>
          <w:spacing w:val="-25"/>
        </w:rPr>
        <w:t> </w:t>
      </w:r>
      <w:r>
        <w:rPr>
          <w:color w:val="231F20"/>
        </w:rPr>
        <w:t>either</w:t>
      </w:r>
      <w:r>
        <w:rPr>
          <w:color w:val="231F20"/>
          <w:spacing w:val="-26"/>
        </w:rPr>
        <w:t> </w:t>
      </w:r>
      <w:r>
        <w:rPr>
          <w:color w:val="231F20"/>
        </w:rPr>
        <w:t>bring</w:t>
      </w:r>
      <w:r>
        <w:rPr>
          <w:color w:val="231F20"/>
          <w:spacing w:val="-26"/>
        </w:rPr>
        <w:t> </w:t>
      </w:r>
      <w:r>
        <w:rPr>
          <w:color w:val="231F20"/>
        </w:rPr>
        <w:t>a</w:t>
      </w:r>
      <w:r>
        <w:rPr>
          <w:color w:val="231F20"/>
          <w:spacing w:val="-26"/>
        </w:rPr>
        <w:t> </w:t>
      </w:r>
      <w:r>
        <w:rPr>
          <w:color w:val="231F20"/>
        </w:rPr>
        <w:t>truly</w:t>
      </w:r>
      <w:r>
        <w:rPr>
          <w:color w:val="231F20"/>
          <w:spacing w:val="-26"/>
        </w:rPr>
        <w:t> </w:t>
      </w:r>
      <w:r>
        <w:rPr>
          <w:color w:val="231F20"/>
        </w:rPr>
        <w:t>group complaint</w:t>
      </w:r>
      <w:r>
        <w:rPr>
          <w:color w:val="231F20"/>
          <w:spacing w:val="-14"/>
        </w:rPr>
        <w:t> </w:t>
      </w:r>
      <w:r>
        <w:rPr>
          <w:color w:val="231F20"/>
        </w:rPr>
        <w:t>regarding</w:t>
      </w:r>
      <w:r>
        <w:rPr>
          <w:color w:val="231F20"/>
          <w:spacing w:val="-14"/>
        </w:rPr>
        <w:t> </w:t>
      </w:r>
      <w:r>
        <w:rPr>
          <w:color w:val="231F20"/>
        </w:rPr>
        <w:t>a</w:t>
      </w:r>
      <w:r>
        <w:rPr>
          <w:color w:val="231F20"/>
          <w:spacing w:val="-14"/>
        </w:rPr>
        <w:t> </w:t>
      </w:r>
      <w:r>
        <w:rPr>
          <w:color w:val="231F20"/>
        </w:rPr>
        <w:t>workplace</w:t>
      </w:r>
      <w:r>
        <w:rPr>
          <w:color w:val="231F20"/>
          <w:spacing w:val="-14"/>
        </w:rPr>
        <w:t> </w:t>
      </w:r>
      <w:r>
        <w:rPr>
          <w:color w:val="231F20"/>
        </w:rPr>
        <w:t>issue to</w:t>
      </w:r>
      <w:r>
        <w:rPr>
          <w:color w:val="231F20"/>
          <w:spacing w:val="-22"/>
        </w:rPr>
        <w:t> </w:t>
      </w:r>
      <w:r>
        <w:rPr>
          <w:color w:val="231F20"/>
          <w:spacing w:val="-3"/>
        </w:rPr>
        <w:t>management’s</w:t>
      </w:r>
      <w:r>
        <w:rPr>
          <w:color w:val="231F20"/>
          <w:spacing w:val="-21"/>
        </w:rPr>
        <w:t> </w:t>
      </w:r>
      <w:r>
        <w:rPr>
          <w:color w:val="231F20"/>
        </w:rPr>
        <w:t>attention,</w:t>
      </w:r>
      <w:r>
        <w:rPr>
          <w:color w:val="231F20"/>
          <w:spacing w:val="-21"/>
        </w:rPr>
        <w:t> </w:t>
      </w:r>
      <w:r>
        <w:rPr>
          <w:color w:val="231F20"/>
        </w:rPr>
        <w:t>or</w:t>
      </w:r>
      <w:r>
        <w:rPr>
          <w:color w:val="231F20"/>
          <w:spacing w:val="-22"/>
        </w:rPr>
        <w:t> </w:t>
      </w:r>
      <w:r>
        <w:rPr>
          <w:color w:val="231F20"/>
        </w:rPr>
        <w:t>the</w:t>
      </w:r>
      <w:r>
        <w:rPr>
          <w:color w:val="231F20"/>
          <w:spacing w:val="-21"/>
        </w:rPr>
        <w:t> </w:t>
      </w:r>
      <w:r>
        <w:rPr>
          <w:color w:val="231F20"/>
        </w:rPr>
        <w:t>total- ity</w:t>
      </w:r>
      <w:r>
        <w:rPr>
          <w:color w:val="231F20"/>
          <w:spacing w:val="-20"/>
        </w:rPr>
        <w:t> </w:t>
      </w:r>
      <w:r>
        <w:rPr>
          <w:color w:val="231F20"/>
        </w:rPr>
        <w:t>of</w:t>
      </w:r>
      <w:r>
        <w:rPr>
          <w:color w:val="231F20"/>
          <w:spacing w:val="-20"/>
        </w:rPr>
        <w:t> </w:t>
      </w:r>
      <w:r>
        <w:rPr>
          <w:color w:val="231F20"/>
        </w:rPr>
        <w:t>the</w:t>
      </w:r>
      <w:r>
        <w:rPr>
          <w:color w:val="231F20"/>
          <w:spacing w:val="-20"/>
        </w:rPr>
        <w:t> </w:t>
      </w:r>
      <w:r>
        <w:rPr>
          <w:color w:val="231F20"/>
        </w:rPr>
        <w:t>circumstances</w:t>
      </w:r>
      <w:r>
        <w:rPr>
          <w:color w:val="231F20"/>
          <w:spacing w:val="-20"/>
        </w:rPr>
        <w:t> </w:t>
      </w:r>
      <w:r>
        <w:rPr>
          <w:color w:val="231F20"/>
        </w:rPr>
        <w:t>must</w:t>
      </w:r>
      <w:r>
        <w:rPr>
          <w:color w:val="231F20"/>
          <w:spacing w:val="-20"/>
        </w:rPr>
        <w:t> </w:t>
      </w:r>
      <w:r>
        <w:rPr>
          <w:color w:val="231F20"/>
        </w:rPr>
        <w:t>support</w:t>
      </w:r>
      <w:r>
        <w:rPr>
          <w:color w:val="231F20"/>
          <w:spacing w:val="-20"/>
        </w:rPr>
        <w:t> </w:t>
      </w:r>
      <w:r>
        <w:rPr>
          <w:color w:val="231F20"/>
        </w:rPr>
        <w:t>a reasonable</w:t>
      </w:r>
      <w:r>
        <w:rPr>
          <w:color w:val="231F20"/>
          <w:spacing w:val="-26"/>
        </w:rPr>
        <w:t> </w:t>
      </w:r>
      <w:r>
        <w:rPr>
          <w:color w:val="231F20"/>
          <w:spacing w:val="-2"/>
        </w:rPr>
        <w:t>inference</w:t>
      </w:r>
      <w:r>
        <w:rPr>
          <w:color w:val="231F20"/>
          <w:spacing w:val="-25"/>
        </w:rPr>
        <w:t> </w:t>
      </w:r>
      <w:r>
        <w:rPr>
          <w:color w:val="231F20"/>
        </w:rPr>
        <w:t>that</w:t>
      </w:r>
      <w:r>
        <w:rPr>
          <w:color w:val="231F20"/>
          <w:spacing w:val="-25"/>
        </w:rPr>
        <w:t> </w:t>
      </w:r>
      <w:r>
        <w:rPr>
          <w:color w:val="231F20"/>
        </w:rPr>
        <w:t>in</w:t>
      </w:r>
      <w:r>
        <w:rPr>
          <w:color w:val="231F20"/>
          <w:spacing w:val="-25"/>
        </w:rPr>
        <w:t> </w:t>
      </w:r>
      <w:r>
        <w:rPr>
          <w:color w:val="231F20"/>
        </w:rPr>
        <w:t>making</w:t>
      </w:r>
      <w:r>
        <w:rPr>
          <w:color w:val="231F20"/>
          <w:spacing w:val="-25"/>
        </w:rPr>
        <w:t> </w:t>
      </w:r>
      <w:r>
        <w:rPr>
          <w:color w:val="231F20"/>
          <w:spacing w:val="-2"/>
        </w:rPr>
        <w:t>the </w:t>
      </w:r>
      <w:r>
        <w:rPr>
          <w:color w:val="231F20"/>
        </w:rPr>
        <w:t>statement, the employee was seeking to initiate, induce or prepare for group action.”</w:t>
      </w:r>
      <w:r>
        <w:rPr>
          <w:color w:val="231F20"/>
          <w:position w:val="7"/>
          <w:sz w:val="12"/>
        </w:rPr>
        <w:t>6 </w:t>
      </w:r>
      <w:r>
        <w:rPr>
          <w:color w:val="231F20"/>
        </w:rPr>
        <w:t>In </w:t>
      </w:r>
      <w:r>
        <w:rPr>
          <w:color w:val="231F20"/>
          <w:spacing w:val="2"/>
        </w:rPr>
        <w:t>reaching </w:t>
      </w:r>
      <w:r>
        <w:rPr>
          <w:color w:val="231F20"/>
        </w:rPr>
        <w:t>its holding, </w:t>
      </w:r>
      <w:r>
        <w:rPr>
          <w:color w:val="231F20"/>
          <w:spacing w:val="2"/>
        </w:rPr>
        <w:t>the </w:t>
      </w:r>
      <w:r>
        <w:rPr>
          <w:color w:val="231F20"/>
        </w:rPr>
        <w:t>Board identified the following factors as tending to support drawing such</w:t>
      </w:r>
      <w:r>
        <w:rPr>
          <w:color w:val="231F20"/>
          <w:spacing w:val="-33"/>
        </w:rPr>
        <w:t> </w:t>
      </w:r>
      <w:r>
        <w:rPr>
          <w:color w:val="231F20"/>
        </w:rPr>
        <w:t>an inference:</w:t>
      </w:r>
    </w:p>
    <w:p>
      <w:pPr>
        <w:pStyle w:val="ListParagraph"/>
        <w:numPr>
          <w:ilvl w:val="1"/>
          <w:numId w:val="2"/>
        </w:numPr>
        <w:tabs>
          <w:tab w:pos="646" w:val="left" w:leader="none"/>
        </w:tabs>
        <w:spacing w:line="264" w:lineRule="auto" w:before="117" w:after="0"/>
        <w:ind w:left="359" w:right="279" w:hanging="20"/>
        <w:jc w:val="both"/>
        <w:rPr>
          <w:sz w:val="18"/>
        </w:rPr>
      </w:pPr>
      <w:r>
        <w:rPr>
          <w:color w:val="231F20"/>
          <w:sz w:val="18"/>
        </w:rPr>
        <w:t>the statement was made in an employee meeting called by the</w:t>
      </w:r>
      <w:r>
        <w:rPr>
          <w:color w:val="231F20"/>
          <w:spacing w:val="-25"/>
          <w:sz w:val="18"/>
        </w:rPr>
        <w:t> </w:t>
      </w:r>
      <w:r>
        <w:rPr>
          <w:color w:val="231F20"/>
          <w:sz w:val="18"/>
        </w:rPr>
        <w:t>em- ployer</w:t>
      </w:r>
      <w:r>
        <w:rPr>
          <w:color w:val="231F20"/>
          <w:spacing w:val="-17"/>
          <w:sz w:val="18"/>
        </w:rPr>
        <w:t> </w:t>
      </w:r>
      <w:r>
        <w:rPr>
          <w:color w:val="231F20"/>
          <w:sz w:val="18"/>
        </w:rPr>
        <w:t>to</w:t>
      </w:r>
      <w:r>
        <w:rPr>
          <w:color w:val="231F20"/>
          <w:spacing w:val="-16"/>
          <w:sz w:val="18"/>
        </w:rPr>
        <w:t> </w:t>
      </w:r>
      <w:r>
        <w:rPr>
          <w:color w:val="231F20"/>
          <w:sz w:val="18"/>
        </w:rPr>
        <w:t>announce</w:t>
      </w:r>
      <w:r>
        <w:rPr>
          <w:color w:val="231F20"/>
          <w:spacing w:val="-16"/>
          <w:sz w:val="18"/>
        </w:rPr>
        <w:t> </w:t>
      </w:r>
      <w:r>
        <w:rPr>
          <w:color w:val="231F20"/>
          <w:sz w:val="18"/>
        </w:rPr>
        <w:t>a</w:t>
      </w:r>
      <w:r>
        <w:rPr>
          <w:color w:val="231F20"/>
          <w:spacing w:val="-16"/>
          <w:sz w:val="18"/>
        </w:rPr>
        <w:t> </w:t>
      </w:r>
      <w:r>
        <w:rPr>
          <w:color w:val="231F20"/>
          <w:sz w:val="18"/>
        </w:rPr>
        <w:t>decision</w:t>
      </w:r>
      <w:r>
        <w:rPr>
          <w:color w:val="231F20"/>
          <w:spacing w:val="-16"/>
          <w:sz w:val="18"/>
        </w:rPr>
        <w:t> </w:t>
      </w:r>
      <w:r>
        <w:rPr>
          <w:color w:val="231F20"/>
          <w:sz w:val="18"/>
        </w:rPr>
        <w:t>affect- ing</w:t>
      </w:r>
      <w:r>
        <w:rPr>
          <w:color w:val="231F20"/>
          <w:spacing w:val="-19"/>
          <w:sz w:val="18"/>
        </w:rPr>
        <w:t> </w:t>
      </w:r>
      <w:r>
        <w:rPr>
          <w:color w:val="231F20"/>
          <w:sz w:val="18"/>
        </w:rPr>
        <w:t>wages,</w:t>
      </w:r>
      <w:r>
        <w:rPr>
          <w:color w:val="231F20"/>
          <w:spacing w:val="-19"/>
          <w:sz w:val="18"/>
        </w:rPr>
        <w:t> </w:t>
      </w:r>
      <w:r>
        <w:rPr>
          <w:color w:val="231F20"/>
          <w:sz w:val="18"/>
        </w:rPr>
        <w:t>hours,</w:t>
      </w:r>
      <w:r>
        <w:rPr>
          <w:color w:val="231F20"/>
          <w:spacing w:val="-19"/>
          <w:sz w:val="18"/>
        </w:rPr>
        <w:t> </w:t>
      </w:r>
      <w:r>
        <w:rPr>
          <w:color w:val="231F20"/>
          <w:sz w:val="18"/>
        </w:rPr>
        <w:t>or</w:t>
      </w:r>
      <w:r>
        <w:rPr>
          <w:color w:val="231F20"/>
          <w:spacing w:val="-18"/>
          <w:sz w:val="18"/>
        </w:rPr>
        <w:t> </w:t>
      </w:r>
      <w:r>
        <w:rPr>
          <w:color w:val="231F20"/>
          <w:sz w:val="18"/>
        </w:rPr>
        <w:t>some</w:t>
      </w:r>
      <w:r>
        <w:rPr>
          <w:color w:val="231F20"/>
          <w:spacing w:val="-18"/>
          <w:sz w:val="18"/>
        </w:rPr>
        <w:t> </w:t>
      </w:r>
      <w:r>
        <w:rPr>
          <w:color w:val="231F20"/>
          <w:sz w:val="18"/>
        </w:rPr>
        <w:t>other</w:t>
      </w:r>
      <w:r>
        <w:rPr>
          <w:color w:val="231F20"/>
          <w:spacing w:val="-19"/>
          <w:sz w:val="18"/>
        </w:rPr>
        <w:t> </w:t>
      </w:r>
      <w:r>
        <w:rPr>
          <w:color w:val="231F20"/>
          <w:sz w:val="18"/>
        </w:rPr>
        <w:t>term or condition of</w:t>
      </w:r>
      <w:r>
        <w:rPr>
          <w:color w:val="231F20"/>
          <w:spacing w:val="-5"/>
          <w:sz w:val="18"/>
        </w:rPr>
        <w:t> </w:t>
      </w:r>
      <w:r>
        <w:rPr>
          <w:color w:val="231F20"/>
          <w:sz w:val="18"/>
        </w:rPr>
        <w:t>employment;</w:t>
      </w:r>
    </w:p>
    <w:p>
      <w:pPr>
        <w:pStyle w:val="ListParagraph"/>
        <w:numPr>
          <w:ilvl w:val="1"/>
          <w:numId w:val="2"/>
        </w:numPr>
        <w:tabs>
          <w:tab w:pos="623" w:val="left" w:leader="none"/>
        </w:tabs>
        <w:spacing w:line="264" w:lineRule="auto" w:before="143" w:after="0"/>
        <w:ind w:left="359" w:right="281" w:hanging="20"/>
        <w:jc w:val="both"/>
        <w:rPr>
          <w:sz w:val="18"/>
        </w:rPr>
      </w:pPr>
      <w:r>
        <w:rPr>
          <w:color w:val="231F20"/>
          <w:sz w:val="18"/>
        </w:rPr>
        <w:t>the decision affects multiple em- ployees attending the</w:t>
      </w:r>
      <w:r>
        <w:rPr>
          <w:color w:val="231F20"/>
          <w:spacing w:val="-6"/>
          <w:sz w:val="18"/>
        </w:rPr>
        <w:t> </w:t>
      </w:r>
      <w:r>
        <w:rPr>
          <w:color w:val="231F20"/>
          <w:sz w:val="18"/>
        </w:rPr>
        <w:t>meeting;</w:t>
      </w:r>
    </w:p>
    <w:p>
      <w:pPr>
        <w:pStyle w:val="ListParagraph"/>
        <w:numPr>
          <w:ilvl w:val="1"/>
          <w:numId w:val="2"/>
        </w:numPr>
        <w:tabs>
          <w:tab w:pos="628" w:val="left" w:leader="none"/>
        </w:tabs>
        <w:spacing w:line="264" w:lineRule="auto" w:before="141" w:after="0"/>
        <w:ind w:left="359" w:right="280" w:hanging="20"/>
        <w:jc w:val="both"/>
        <w:rPr>
          <w:sz w:val="18"/>
        </w:rPr>
      </w:pPr>
      <w:r>
        <w:rPr>
          <w:color w:val="231F20"/>
          <w:sz w:val="18"/>
        </w:rPr>
        <w:t>the employee who speaks up in response</w:t>
      </w:r>
      <w:r>
        <w:rPr>
          <w:color w:val="231F20"/>
          <w:spacing w:val="-28"/>
          <w:sz w:val="18"/>
        </w:rPr>
        <w:t> </w:t>
      </w:r>
      <w:r>
        <w:rPr>
          <w:color w:val="231F20"/>
          <w:sz w:val="18"/>
        </w:rPr>
        <w:t>to</w:t>
      </w:r>
      <w:r>
        <w:rPr>
          <w:color w:val="231F20"/>
          <w:spacing w:val="-27"/>
          <w:sz w:val="18"/>
        </w:rPr>
        <w:t> </w:t>
      </w:r>
      <w:r>
        <w:rPr>
          <w:color w:val="231F20"/>
          <w:sz w:val="18"/>
        </w:rPr>
        <w:t>the</w:t>
      </w:r>
      <w:r>
        <w:rPr>
          <w:color w:val="231F20"/>
          <w:spacing w:val="-27"/>
          <w:sz w:val="18"/>
        </w:rPr>
        <w:t> </w:t>
      </w:r>
      <w:r>
        <w:rPr>
          <w:color w:val="231F20"/>
          <w:sz w:val="18"/>
        </w:rPr>
        <w:t>announcement</w:t>
      </w:r>
      <w:r>
        <w:rPr>
          <w:color w:val="231F20"/>
          <w:spacing w:val="-27"/>
          <w:sz w:val="18"/>
        </w:rPr>
        <w:t> </w:t>
      </w:r>
      <w:r>
        <w:rPr>
          <w:color w:val="231F20"/>
          <w:sz w:val="18"/>
        </w:rPr>
        <w:t>did</w:t>
      </w:r>
      <w:r>
        <w:rPr>
          <w:color w:val="231F20"/>
          <w:spacing w:val="-28"/>
          <w:sz w:val="18"/>
        </w:rPr>
        <w:t> </w:t>
      </w:r>
      <w:r>
        <w:rPr>
          <w:color w:val="231F20"/>
          <w:sz w:val="18"/>
        </w:rPr>
        <w:t>so to</w:t>
      </w:r>
      <w:r>
        <w:rPr>
          <w:color w:val="231F20"/>
          <w:spacing w:val="-18"/>
          <w:sz w:val="18"/>
        </w:rPr>
        <w:t> </w:t>
      </w:r>
      <w:r>
        <w:rPr>
          <w:color w:val="231F20"/>
          <w:sz w:val="18"/>
        </w:rPr>
        <w:t>protest</w:t>
      </w:r>
      <w:r>
        <w:rPr>
          <w:color w:val="231F20"/>
          <w:spacing w:val="-18"/>
          <w:sz w:val="18"/>
        </w:rPr>
        <w:t> </w:t>
      </w:r>
      <w:r>
        <w:rPr>
          <w:color w:val="231F20"/>
          <w:sz w:val="18"/>
        </w:rPr>
        <w:t>or</w:t>
      </w:r>
      <w:r>
        <w:rPr>
          <w:color w:val="231F20"/>
          <w:spacing w:val="-18"/>
          <w:sz w:val="18"/>
        </w:rPr>
        <w:t> </w:t>
      </w:r>
      <w:r>
        <w:rPr>
          <w:color w:val="231F20"/>
          <w:sz w:val="18"/>
        </w:rPr>
        <w:t>complain</w:t>
      </w:r>
      <w:r>
        <w:rPr>
          <w:color w:val="231F20"/>
          <w:spacing w:val="-18"/>
          <w:sz w:val="18"/>
        </w:rPr>
        <w:t> </w:t>
      </w:r>
      <w:r>
        <w:rPr>
          <w:color w:val="231F20"/>
          <w:sz w:val="18"/>
        </w:rPr>
        <w:t>about</w:t>
      </w:r>
      <w:r>
        <w:rPr>
          <w:color w:val="231F20"/>
          <w:spacing w:val="-17"/>
          <w:sz w:val="18"/>
        </w:rPr>
        <w:t> </w:t>
      </w:r>
      <w:r>
        <w:rPr>
          <w:color w:val="231F20"/>
          <w:sz w:val="18"/>
        </w:rPr>
        <w:t>the</w:t>
      </w:r>
      <w:r>
        <w:rPr>
          <w:color w:val="231F20"/>
          <w:spacing w:val="-18"/>
          <w:sz w:val="18"/>
        </w:rPr>
        <w:t> </w:t>
      </w:r>
      <w:r>
        <w:rPr>
          <w:color w:val="231F20"/>
          <w:sz w:val="18"/>
        </w:rPr>
        <w:t>deci- sion,</w:t>
      </w:r>
      <w:r>
        <w:rPr>
          <w:color w:val="231F20"/>
          <w:spacing w:val="-8"/>
          <w:sz w:val="18"/>
        </w:rPr>
        <w:t> </w:t>
      </w:r>
      <w:r>
        <w:rPr>
          <w:color w:val="231F20"/>
          <w:sz w:val="18"/>
        </w:rPr>
        <w:t>not</w:t>
      </w:r>
      <w:r>
        <w:rPr>
          <w:color w:val="231F20"/>
          <w:spacing w:val="-8"/>
          <w:sz w:val="18"/>
        </w:rPr>
        <w:t> </w:t>
      </w:r>
      <w:r>
        <w:rPr>
          <w:color w:val="231F20"/>
          <w:sz w:val="18"/>
        </w:rPr>
        <w:t>merely</w:t>
      </w:r>
      <w:r>
        <w:rPr>
          <w:color w:val="231F20"/>
          <w:spacing w:val="-7"/>
          <w:sz w:val="18"/>
        </w:rPr>
        <w:t> </w:t>
      </w:r>
      <w:r>
        <w:rPr>
          <w:color w:val="231F20"/>
          <w:sz w:val="18"/>
        </w:rPr>
        <w:t>.</w:t>
      </w:r>
      <w:r>
        <w:rPr>
          <w:color w:val="231F20"/>
          <w:spacing w:val="-8"/>
          <w:sz w:val="18"/>
        </w:rPr>
        <w:t> </w:t>
      </w:r>
      <w:r>
        <w:rPr>
          <w:color w:val="231F20"/>
          <w:sz w:val="18"/>
        </w:rPr>
        <w:t>.</w:t>
      </w:r>
      <w:r>
        <w:rPr>
          <w:color w:val="231F20"/>
          <w:spacing w:val="-7"/>
          <w:sz w:val="18"/>
        </w:rPr>
        <w:t> </w:t>
      </w:r>
      <w:r>
        <w:rPr>
          <w:color w:val="231F20"/>
          <w:sz w:val="18"/>
        </w:rPr>
        <w:t>.</w:t>
      </w:r>
      <w:r>
        <w:rPr>
          <w:color w:val="231F20"/>
          <w:spacing w:val="-8"/>
          <w:sz w:val="18"/>
        </w:rPr>
        <w:t> </w:t>
      </w:r>
      <w:r>
        <w:rPr>
          <w:color w:val="231F20"/>
          <w:sz w:val="18"/>
        </w:rPr>
        <w:t>to</w:t>
      </w:r>
      <w:r>
        <w:rPr>
          <w:color w:val="231F20"/>
          <w:spacing w:val="-7"/>
          <w:sz w:val="18"/>
        </w:rPr>
        <w:t> </w:t>
      </w:r>
      <w:r>
        <w:rPr>
          <w:color w:val="231F20"/>
          <w:sz w:val="18"/>
        </w:rPr>
        <w:t>ask</w:t>
      </w:r>
      <w:r>
        <w:rPr>
          <w:color w:val="231F20"/>
          <w:spacing w:val="-8"/>
          <w:sz w:val="18"/>
        </w:rPr>
        <w:t> </w:t>
      </w:r>
      <w:r>
        <w:rPr>
          <w:color w:val="231F20"/>
          <w:sz w:val="18"/>
        </w:rPr>
        <w:t>questions</w:t>
      </w:r>
    </w:p>
    <w:p>
      <w:pPr>
        <w:spacing w:line="266" w:lineRule="auto" w:before="98"/>
        <w:ind w:left="359" w:right="349" w:firstLine="0"/>
        <w:jc w:val="left"/>
        <w:rPr>
          <w:sz w:val="18"/>
        </w:rPr>
      </w:pPr>
      <w:r>
        <w:rPr/>
        <w:br w:type="column"/>
      </w:r>
      <w:r>
        <w:rPr>
          <w:color w:val="231F20"/>
          <w:sz w:val="18"/>
        </w:rPr>
        <w:t>about how the decision has been or will be implemented;</w:t>
      </w:r>
    </w:p>
    <w:p>
      <w:pPr>
        <w:pStyle w:val="ListParagraph"/>
        <w:numPr>
          <w:ilvl w:val="1"/>
          <w:numId w:val="2"/>
        </w:numPr>
        <w:tabs>
          <w:tab w:pos="648" w:val="left" w:leader="none"/>
        </w:tabs>
        <w:spacing w:line="266" w:lineRule="auto" w:before="138" w:after="0"/>
        <w:ind w:left="359" w:right="537" w:hanging="20"/>
        <w:jc w:val="both"/>
        <w:rPr>
          <w:sz w:val="18"/>
        </w:rPr>
      </w:pPr>
      <w:r>
        <w:rPr>
          <w:color w:val="231F20"/>
          <w:sz w:val="18"/>
        </w:rPr>
        <w:t>the </w:t>
      </w:r>
      <w:r>
        <w:rPr>
          <w:color w:val="231F20"/>
          <w:spacing w:val="2"/>
          <w:sz w:val="18"/>
        </w:rPr>
        <w:t>speaker protested </w:t>
      </w:r>
      <w:r>
        <w:rPr>
          <w:color w:val="231F20"/>
          <w:sz w:val="18"/>
        </w:rPr>
        <w:t>or </w:t>
      </w:r>
      <w:r>
        <w:rPr>
          <w:color w:val="231F20"/>
          <w:spacing w:val="2"/>
          <w:sz w:val="18"/>
        </w:rPr>
        <w:t>com- </w:t>
      </w:r>
      <w:r>
        <w:rPr>
          <w:color w:val="231F20"/>
          <w:sz w:val="18"/>
        </w:rPr>
        <w:t>plained about the decision’s effect on the work force generally or some portion of the work force, not solely about</w:t>
      </w:r>
      <w:r>
        <w:rPr>
          <w:color w:val="231F20"/>
          <w:spacing w:val="-21"/>
          <w:sz w:val="18"/>
        </w:rPr>
        <w:t> </w:t>
      </w:r>
      <w:r>
        <w:rPr>
          <w:color w:val="231F20"/>
          <w:sz w:val="18"/>
        </w:rPr>
        <w:t>its</w:t>
      </w:r>
      <w:r>
        <w:rPr>
          <w:color w:val="231F20"/>
          <w:spacing w:val="-20"/>
          <w:sz w:val="18"/>
        </w:rPr>
        <w:t> </w:t>
      </w:r>
      <w:r>
        <w:rPr>
          <w:color w:val="231F20"/>
          <w:spacing w:val="-3"/>
          <w:sz w:val="18"/>
        </w:rPr>
        <w:t>effect</w:t>
      </w:r>
      <w:r>
        <w:rPr>
          <w:color w:val="231F20"/>
          <w:spacing w:val="-21"/>
          <w:sz w:val="18"/>
        </w:rPr>
        <w:t> </w:t>
      </w:r>
      <w:r>
        <w:rPr>
          <w:color w:val="231F20"/>
          <w:sz w:val="18"/>
        </w:rPr>
        <w:t>on</w:t>
      </w:r>
      <w:r>
        <w:rPr>
          <w:color w:val="231F20"/>
          <w:spacing w:val="-20"/>
          <w:sz w:val="18"/>
        </w:rPr>
        <w:t> </w:t>
      </w:r>
      <w:r>
        <w:rPr>
          <w:color w:val="231F20"/>
          <w:sz w:val="18"/>
        </w:rPr>
        <w:t>the</w:t>
      </w:r>
      <w:r>
        <w:rPr>
          <w:color w:val="231F20"/>
          <w:spacing w:val="-21"/>
          <w:sz w:val="18"/>
        </w:rPr>
        <w:t> </w:t>
      </w:r>
      <w:r>
        <w:rPr>
          <w:color w:val="231F20"/>
          <w:sz w:val="18"/>
        </w:rPr>
        <w:t>speaker</w:t>
      </w:r>
      <w:r>
        <w:rPr>
          <w:color w:val="231F20"/>
          <w:spacing w:val="-20"/>
          <w:sz w:val="18"/>
        </w:rPr>
        <w:t> </w:t>
      </w:r>
      <w:r>
        <w:rPr>
          <w:color w:val="231F20"/>
          <w:sz w:val="18"/>
        </w:rPr>
        <w:t>him-</w:t>
      </w:r>
      <w:r>
        <w:rPr>
          <w:color w:val="231F20"/>
          <w:spacing w:val="-21"/>
          <w:sz w:val="18"/>
        </w:rPr>
        <w:t> </w:t>
      </w:r>
      <w:r>
        <w:rPr>
          <w:color w:val="231F20"/>
          <w:sz w:val="18"/>
        </w:rPr>
        <w:t>or herself;</w:t>
      </w:r>
      <w:r>
        <w:rPr>
          <w:color w:val="231F20"/>
          <w:spacing w:val="-2"/>
          <w:sz w:val="18"/>
        </w:rPr>
        <w:t> </w:t>
      </w:r>
      <w:r>
        <w:rPr>
          <w:color w:val="231F20"/>
          <w:sz w:val="18"/>
        </w:rPr>
        <w:t>and</w:t>
      </w:r>
    </w:p>
    <w:p>
      <w:pPr>
        <w:pStyle w:val="ListParagraph"/>
        <w:numPr>
          <w:ilvl w:val="1"/>
          <w:numId w:val="2"/>
        </w:numPr>
        <w:tabs>
          <w:tab w:pos="594" w:val="left" w:leader="none"/>
        </w:tabs>
        <w:spacing w:line="266" w:lineRule="auto" w:before="135" w:after="0"/>
        <w:ind w:left="359" w:right="537" w:hanging="20"/>
        <w:jc w:val="both"/>
        <w:rPr>
          <w:sz w:val="11"/>
        </w:rPr>
      </w:pPr>
      <w:r>
        <w:rPr>
          <w:color w:val="231F20"/>
          <w:sz w:val="18"/>
        </w:rPr>
        <w:t>the</w:t>
      </w:r>
      <w:r>
        <w:rPr>
          <w:color w:val="231F20"/>
          <w:spacing w:val="-21"/>
          <w:sz w:val="18"/>
        </w:rPr>
        <w:t> </w:t>
      </w:r>
      <w:r>
        <w:rPr>
          <w:color w:val="231F20"/>
          <w:sz w:val="18"/>
        </w:rPr>
        <w:t>meeting</w:t>
      </w:r>
      <w:r>
        <w:rPr>
          <w:color w:val="231F20"/>
          <w:spacing w:val="-20"/>
          <w:sz w:val="18"/>
        </w:rPr>
        <w:t> </w:t>
      </w:r>
      <w:r>
        <w:rPr>
          <w:color w:val="231F20"/>
          <w:sz w:val="18"/>
        </w:rPr>
        <w:t>presented</w:t>
      </w:r>
      <w:r>
        <w:rPr>
          <w:color w:val="231F20"/>
          <w:spacing w:val="-20"/>
          <w:sz w:val="18"/>
        </w:rPr>
        <w:t> </w:t>
      </w:r>
      <w:r>
        <w:rPr>
          <w:color w:val="231F20"/>
          <w:sz w:val="18"/>
        </w:rPr>
        <w:t>the</w:t>
      </w:r>
      <w:r>
        <w:rPr>
          <w:color w:val="231F20"/>
          <w:spacing w:val="-20"/>
          <w:sz w:val="18"/>
        </w:rPr>
        <w:t> </w:t>
      </w:r>
      <w:r>
        <w:rPr>
          <w:color w:val="231F20"/>
          <w:sz w:val="18"/>
        </w:rPr>
        <w:t>first</w:t>
      </w:r>
      <w:r>
        <w:rPr>
          <w:color w:val="231F20"/>
          <w:spacing w:val="-20"/>
          <w:sz w:val="18"/>
        </w:rPr>
        <w:t> </w:t>
      </w:r>
      <w:r>
        <w:rPr>
          <w:color w:val="231F20"/>
          <w:sz w:val="18"/>
        </w:rPr>
        <w:t>op- portunity employees had to address the</w:t>
      </w:r>
      <w:r>
        <w:rPr>
          <w:color w:val="231F20"/>
          <w:spacing w:val="-13"/>
          <w:sz w:val="18"/>
        </w:rPr>
        <w:t> </w:t>
      </w:r>
      <w:r>
        <w:rPr>
          <w:color w:val="231F20"/>
          <w:sz w:val="18"/>
        </w:rPr>
        <w:t>decision,</w:t>
      </w:r>
      <w:r>
        <w:rPr>
          <w:color w:val="231F20"/>
          <w:spacing w:val="-13"/>
          <w:sz w:val="18"/>
        </w:rPr>
        <w:t> </w:t>
      </w:r>
      <w:r>
        <w:rPr>
          <w:color w:val="231F20"/>
          <w:sz w:val="18"/>
        </w:rPr>
        <w:t>so</w:t>
      </w:r>
      <w:r>
        <w:rPr>
          <w:color w:val="231F20"/>
          <w:spacing w:val="-13"/>
          <w:sz w:val="18"/>
        </w:rPr>
        <w:t> </w:t>
      </w:r>
      <w:r>
        <w:rPr>
          <w:color w:val="231F20"/>
          <w:sz w:val="18"/>
        </w:rPr>
        <w:t>that</w:t>
      </w:r>
      <w:r>
        <w:rPr>
          <w:color w:val="231F20"/>
          <w:spacing w:val="-12"/>
          <w:sz w:val="18"/>
        </w:rPr>
        <w:t> </w:t>
      </w:r>
      <w:r>
        <w:rPr>
          <w:color w:val="231F20"/>
          <w:sz w:val="18"/>
        </w:rPr>
        <w:t>the</w:t>
      </w:r>
      <w:r>
        <w:rPr>
          <w:color w:val="231F20"/>
          <w:spacing w:val="-13"/>
          <w:sz w:val="18"/>
        </w:rPr>
        <w:t> </w:t>
      </w:r>
      <w:r>
        <w:rPr>
          <w:color w:val="231F20"/>
          <w:sz w:val="18"/>
        </w:rPr>
        <w:t>speaker</w:t>
      </w:r>
      <w:r>
        <w:rPr>
          <w:color w:val="231F20"/>
          <w:spacing w:val="-13"/>
          <w:sz w:val="18"/>
        </w:rPr>
        <w:t> </w:t>
      </w:r>
      <w:r>
        <w:rPr>
          <w:color w:val="231F20"/>
          <w:sz w:val="18"/>
        </w:rPr>
        <w:t>had no</w:t>
      </w:r>
      <w:r>
        <w:rPr>
          <w:color w:val="231F20"/>
          <w:spacing w:val="-17"/>
          <w:sz w:val="18"/>
        </w:rPr>
        <w:t> </w:t>
      </w:r>
      <w:r>
        <w:rPr>
          <w:color w:val="231F20"/>
          <w:sz w:val="18"/>
        </w:rPr>
        <w:t>opportunity</w:t>
      </w:r>
      <w:r>
        <w:rPr>
          <w:color w:val="231F20"/>
          <w:spacing w:val="-18"/>
          <w:sz w:val="18"/>
        </w:rPr>
        <w:t> </w:t>
      </w:r>
      <w:r>
        <w:rPr>
          <w:color w:val="231F20"/>
          <w:sz w:val="18"/>
        </w:rPr>
        <w:t>to</w:t>
      </w:r>
      <w:r>
        <w:rPr>
          <w:color w:val="231F20"/>
          <w:spacing w:val="-17"/>
          <w:sz w:val="18"/>
        </w:rPr>
        <w:t> </w:t>
      </w:r>
      <w:r>
        <w:rPr>
          <w:color w:val="231F20"/>
          <w:sz w:val="18"/>
        </w:rPr>
        <w:t>discuss</w:t>
      </w:r>
      <w:r>
        <w:rPr>
          <w:color w:val="231F20"/>
          <w:spacing w:val="-17"/>
          <w:sz w:val="18"/>
        </w:rPr>
        <w:t> </w:t>
      </w:r>
      <w:r>
        <w:rPr>
          <w:color w:val="231F20"/>
          <w:sz w:val="18"/>
        </w:rPr>
        <w:t>it</w:t>
      </w:r>
      <w:r>
        <w:rPr>
          <w:color w:val="231F20"/>
          <w:spacing w:val="-17"/>
          <w:sz w:val="18"/>
        </w:rPr>
        <w:t> </w:t>
      </w:r>
      <w:r>
        <w:rPr>
          <w:color w:val="231F20"/>
          <w:sz w:val="18"/>
        </w:rPr>
        <w:t>with</w:t>
      </w:r>
      <w:r>
        <w:rPr>
          <w:color w:val="231F20"/>
          <w:spacing w:val="-17"/>
          <w:sz w:val="18"/>
        </w:rPr>
        <w:t> </w:t>
      </w:r>
      <w:r>
        <w:rPr>
          <w:color w:val="231F20"/>
          <w:sz w:val="18"/>
        </w:rPr>
        <w:t>other employees</w:t>
      </w:r>
      <w:r>
        <w:rPr>
          <w:color w:val="231F20"/>
          <w:spacing w:val="-2"/>
          <w:sz w:val="18"/>
        </w:rPr>
        <w:t> </w:t>
      </w:r>
      <w:r>
        <w:rPr>
          <w:color w:val="231F20"/>
          <w:sz w:val="18"/>
        </w:rPr>
        <w:t>beforehand.</w:t>
      </w:r>
      <w:r>
        <w:rPr>
          <w:color w:val="231F20"/>
          <w:position w:val="6"/>
          <w:sz w:val="11"/>
        </w:rPr>
        <w:t>7</w:t>
      </w:r>
    </w:p>
    <w:p>
      <w:pPr>
        <w:pStyle w:val="BodyText"/>
        <w:spacing w:line="259" w:lineRule="auto" w:before="137"/>
        <w:ind w:left="119" w:right="297" w:firstLine="180"/>
        <w:jc w:val="both"/>
      </w:pPr>
      <w:r>
        <w:rPr>
          <w:color w:val="231F20"/>
        </w:rPr>
        <w:t>The</w:t>
      </w:r>
      <w:r>
        <w:rPr>
          <w:color w:val="231F20"/>
          <w:spacing w:val="-16"/>
        </w:rPr>
        <w:t> </w:t>
      </w:r>
      <w:r>
        <w:rPr>
          <w:color w:val="231F20"/>
        </w:rPr>
        <w:t>Board</w:t>
      </w:r>
      <w:r>
        <w:rPr>
          <w:color w:val="231F20"/>
          <w:spacing w:val="-16"/>
        </w:rPr>
        <w:t> </w:t>
      </w:r>
      <w:r>
        <w:rPr>
          <w:color w:val="231F20"/>
        </w:rPr>
        <w:t>found</w:t>
      </w:r>
      <w:r>
        <w:rPr>
          <w:color w:val="231F20"/>
          <w:spacing w:val="-16"/>
        </w:rPr>
        <w:t> </w:t>
      </w:r>
      <w:r>
        <w:rPr>
          <w:color w:val="231F20"/>
        </w:rPr>
        <w:t>that</w:t>
      </w:r>
      <w:r>
        <w:rPr>
          <w:color w:val="231F20"/>
          <w:spacing w:val="-16"/>
        </w:rPr>
        <w:t> </w:t>
      </w:r>
      <w:r>
        <w:rPr>
          <w:color w:val="231F20"/>
        </w:rPr>
        <w:t>the</w:t>
      </w:r>
      <w:r>
        <w:rPr>
          <w:color w:val="231F20"/>
          <w:spacing w:val="-16"/>
        </w:rPr>
        <w:t> </w:t>
      </w:r>
      <w:r>
        <w:rPr>
          <w:color w:val="231F20"/>
        </w:rPr>
        <w:t>discharged </w:t>
      </w:r>
      <w:r>
        <w:rPr>
          <w:color w:val="231F20"/>
          <w:spacing w:val="-3"/>
        </w:rPr>
        <w:t>skycap’s</w:t>
      </w:r>
      <w:r>
        <w:rPr>
          <w:color w:val="231F20"/>
          <w:spacing w:val="-28"/>
        </w:rPr>
        <w:t> </w:t>
      </w:r>
      <w:r>
        <w:rPr>
          <w:color w:val="231F20"/>
        </w:rPr>
        <w:t>statement</w:t>
      </w:r>
      <w:r>
        <w:rPr>
          <w:color w:val="231F20"/>
          <w:spacing w:val="-28"/>
        </w:rPr>
        <w:t> </w:t>
      </w:r>
      <w:r>
        <w:rPr>
          <w:color w:val="231F20"/>
        </w:rPr>
        <w:t>constituted</w:t>
      </w:r>
      <w:r>
        <w:rPr>
          <w:color w:val="231F20"/>
          <w:spacing w:val="-28"/>
        </w:rPr>
        <w:t> </w:t>
      </w:r>
      <w:r>
        <w:rPr>
          <w:color w:val="231F20"/>
        </w:rPr>
        <w:t>the</w:t>
      </w:r>
      <w:r>
        <w:rPr>
          <w:color w:val="231F20"/>
          <w:spacing w:val="-28"/>
        </w:rPr>
        <w:t> </w:t>
      </w:r>
      <w:r>
        <w:rPr>
          <w:color w:val="231F20"/>
        </w:rPr>
        <w:t>type of</w:t>
      </w:r>
      <w:r>
        <w:rPr>
          <w:color w:val="231F20"/>
          <w:spacing w:val="-18"/>
        </w:rPr>
        <w:t> </w:t>
      </w:r>
      <w:r>
        <w:rPr>
          <w:color w:val="231F20"/>
          <w:spacing w:val="-3"/>
        </w:rPr>
        <w:t>individual</w:t>
      </w:r>
      <w:r>
        <w:rPr>
          <w:color w:val="231F20"/>
          <w:spacing w:val="-17"/>
        </w:rPr>
        <w:t> </w:t>
      </w:r>
      <w:r>
        <w:rPr>
          <w:color w:val="231F20"/>
          <w:spacing w:val="-3"/>
        </w:rPr>
        <w:t>griping</w:t>
      </w:r>
      <w:r>
        <w:rPr>
          <w:color w:val="231F20"/>
          <w:spacing w:val="-17"/>
        </w:rPr>
        <w:t> </w:t>
      </w:r>
      <w:r>
        <w:rPr>
          <w:color w:val="231F20"/>
          <w:spacing w:val="-3"/>
        </w:rPr>
        <w:t>that</w:t>
      </w:r>
      <w:r>
        <w:rPr>
          <w:color w:val="231F20"/>
          <w:spacing w:val="-17"/>
        </w:rPr>
        <w:t> </w:t>
      </w:r>
      <w:r>
        <w:rPr>
          <w:color w:val="231F20"/>
          <w:spacing w:val="-3"/>
        </w:rPr>
        <w:t>falls</w:t>
      </w:r>
      <w:r>
        <w:rPr>
          <w:color w:val="231F20"/>
          <w:spacing w:val="-18"/>
        </w:rPr>
        <w:t> </w:t>
      </w:r>
      <w:r>
        <w:rPr>
          <w:color w:val="231F20"/>
          <w:spacing w:val="-3"/>
        </w:rPr>
        <w:t>outside</w:t>
      </w:r>
      <w:r>
        <w:rPr>
          <w:color w:val="231F20"/>
          <w:spacing w:val="-17"/>
        </w:rPr>
        <w:t> </w:t>
      </w:r>
      <w:r>
        <w:rPr>
          <w:color w:val="231F20"/>
          <w:spacing w:val="-3"/>
        </w:rPr>
        <w:t>the </w:t>
      </w:r>
      <w:r>
        <w:rPr>
          <w:color w:val="231F20"/>
        </w:rPr>
        <w:t>scope of “concerted activity” and held </w:t>
      </w:r>
      <w:r>
        <w:rPr>
          <w:color w:val="231F20"/>
          <w:spacing w:val="3"/>
        </w:rPr>
        <w:t>that because </w:t>
      </w:r>
      <w:r>
        <w:rPr>
          <w:color w:val="231F20"/>
          <w:spacing w:val="2"/>
        </w:rPr>
        <w:t>the </w:t>
      </w:r>
      <w:r>
        <w:rPr>
          <w:color w:val="231F20"/>
          <w:spacing w:val="3"/>
        </w:rPr>
        <w:t>employee’s state- </w:t>
      </w:r>
      <w:r>
        <w:rPr>
          <w:color w:val="231F20"/>
        </w:rPr>
        <w:t>ment</w:t>
      </w:r>
      <w:r>
        <w:rPr>
          <w:color w:val="231F20"/>
          <w:spacing w:val="-11"/>
        </w:rPr>
        <w:t> </w:t>
      </w:r>
      <w:r>
        <w:rPr>
          <w:color w:val="231F20"/>
        </w:rPr>
        <w:t>did</w:t>
      </w:r>
      <w:r>
        <w:rPr>
          <w:color w:val="231F20"/>
          <w:spacing w:val="-10"/>
        </w:rPr>
        <w:t> </w:t>
      </w:r>
      <w:r>
        <w:rPr>
          <w:color w:val="231F20"/>
        </w:rPr>
        <w:t>not</w:t>
      </w:r>
      <w:r>
        <w:rPr>
          <w:color w:val="231F20"/>
          <w:spacing w:val="-10"/>
        </w:rPr>
        <w:t> </w:t>
      </w:r>
      <w:r>
        <w:rPr>
          <w:color w:val="231F20"/>
        </w:rPr>
        <w:t>relate</w:t>
      </w:r>
      <w:r>
        <w:rPr>
          <w:color w:val="231F20"/>
          <w:spacing w:val="-10"/>
        </w:rPr>
        <w:t> </w:t>
      </w:r>
      <w:r>
        <w:rPr>
          <w:color w:val="231F20"/>
        </w:rPr>
        <w:t>to</w:t>
      </w:r>
      <w:r>
        <w:rPr>
          <w:color w:val="231F20"/>
          <w:spacing w:val="-10"/>
        </w:rPr>
        <w:t> </w:t>
      </w:r>
      <w:r>
        <w:rPr>
          <w:color w:val="231F20"/>
        </w:rPr>
        <w:t>wages,</w:t>
      </w:r>
      <w:r>
        <w:rPr>
          <w:color w:val="231F20"/>
          <w:spacing w:val="-10"/>
        </w:rPr>
        <w:t> </w:t>
      </w:r>
      <w:r>
        <w:rPr>
          <w:color w:val="231F20"/>
        </w:rPr>
        <w:t>hours,</w:t>
      </w:r>
      <w:r>
        <w:rPr>
          <w:color w:val="231F20"/>
          <w:spacing w:val="-10"/>
        </w:rPr>
        <w:t> </w:t>
      </w:r>
      <w:r>
        <w:rPr>
          <w:color w:val="231F20"/>
        </w:rPr>
        <w:t>or </w:t>
      </w:r>
      <w:r>
        <w:rPr>
          <w:color w:val="231F20"/>
          <w:spacing w:val="-3"/>
        </w:rPr>
        <w:t>other</w:t>
      </w:r>
      <w:r>
        <w:rPr>
          <w:color w:val="231F20"/>
          <w:spacing w:val="-20"/>
        </w:rPr>
        <w:t> </w:t>
      </w:r>
      <w:r>
        <w:rPr>
          <w:color w:val="231F20"/>
          <w:spacing w:val="-3"/>
        </w:rPr>
        <w:t>terms</w:t>
      </w:r>
      <w:r>
        <w:rPr>
          <w:color w:val="231F20"/>
          <w:spacing w:val="-20"/>
        </w:rPr>
        <w:t> </w:t>
      </w:r>
      <w:r>
        <w:rPr>
          <w:color w:val="231F20"/>
        </w:rPr>
        <w:t>or</w:t>
      </w:r>
      <w:r>
        <w:rPr>
          <w:color w:val="231F20"/>
          <w:spacing w:val="-20"/>
        </w:rPr>
        <w:t> </w:t>
      </w:r>
      <w:r>
        <w:rPr>
          <w:color w:val="231F20"/>
          <w:spacing w:val="-3"/>
        </w:rPr>
        <w:t>employment</w:t>
      </w:r>
      <w:r>
        <w:rPr>
          <w:color w:val="231F20"/>
          <w:spacing w:val="-20"/>
        </w:rPr>
        <w:t> </w:t>
      </w:r>
      <w:r>
        <w:rPr>
          <w:color w:val="231F20"/>
        </w:rPr>
        <w:t>and</w:t>
      </w:r>
      <w:r>
        <w:rPr>
          <w:color w:val="231F20"/>
          <w:spacing w:val="-20"/>
        </w:rPr>
        <w:t> </w:t>
      </w:r>
      <w:r>
        <w:rPr>
          <w:color w:val="231F20"/>
        </w:rPr>
        <w:t>was</w:t>
      </w:r>
      <w:r>
        <w:rPr>
          <w:color w:val="231F20"/>
          <w:spacing w:val="-20"/>
        </w:rPr>
        <w:t> </w:t>
      </w:r>
      <w:r>
        <w:rPr>
          <w:color w:val="231F20"/>
          <w:spacing w:val="-3"/>
        </w:rPr>
        <w:t>not </w:t>
      </w:r>
      <w:r>
        <w:rPr>
          <w:color w:val="231F20"/>
        </w:rPr>
        <w:t>“aimed</w:t>
      </w:r>
      <w:r>
        <w:rPr>
          <w:color w:val="231F20"/>
          <w:spacing w:val="-23"/>
        </w:rPr>
        <w:t> </w:t>
      </w:r>
      <w:r>
        <w:rPr>
          <w:color w:val="231F20"/>
        </w:rPr>
        <w:t>at</w:t>
      </w:r>
      <w:r>
        <w:rPr>
          <w:color w:val="231F20"/>
          <w:spacing w:val="-23"/>
        </w:rPr>
        <w:t> </w:t>
      </w:r>
      <w:r>
        <w:rPr>
          <w:color w:val="231F20"/>
        </w:rPr>
        <w:t>improving</w:t>
      </w:r>
      <w:r>
        <w:rPr>
          <w:color w:val="231F20"/>
          <w:spacing w:val="-23"/>
        </w:rPr>
        <w:t> </w:t>
      </w:r>
      <w:r>
        <w:rPr>
          <w:color w:val="231F20"/>
        </w:rPr>
        <w:t>[other</w:t>
      </w:r>
      <w:r>
        <w:rPr>
          <w:color w:val="231F20"/>
          <w:spacing w:val="-23"/>
        </w:rPr>
        <w:t> </w:t>
      </w:r>
      <w:r>
        <w:rPr>
          <w:color w:val="231F20"/>
        </w:rPr>
        <w:t>employees’] lot</w:t>
      </w:r>
      <w:r>
        <w:rPr>
          <w:color w:val="231F20"/>
          <w:spacing w:val="-19"/>
        </w:rPr>
        <w:t> </w:t>
      </w:r>
      <w:r>
        <w:rPr>
          <w:color w:val="231F20"/>
        </w:rPr>
        <w:t>.</w:t>
      </w:r>
      <w:r>
        <w:rPr>
          <w:color w:val="231F20"/>
          <w:spacing w:val="-19"/>
        </w:rPr>
        <w:t> </w:t>
      </w:r>
      <w:r>
        <w:rPr>
          <w:color w:val="231F20"/>
        </w:rPr>
        <w:t>.</w:t>
      </w:r>
      <w:r>
        <w:rPr>
          <w:color w:val="231F20"/>
          <w:spacing w:val="-19"/>
        </w:rPr>
        <w:t> </w:t>
      </w:r>
      <w:r>
        <w:rPr>
          <w:color w:val="231F20"/>
        </w:rPr>
        <w:t>.</w:t>
      </w:r>
      <w:r>
        <w:rPr>
          <w:color w:val="231F20"/>
          <w:spacing w:val="-19"/>
        </w:rPr>
        <w:t> </w:t>
      </w:r>
      <w:r>
        <w:rPr>
          <w:color w:val="231F20"/>
        </w:rPr>
        <w:t>through</w:t>
      </w:r>
      <w:r>
        <w:rPr>
          <w:color w:val="231F20"/>
          <w:spacing w:val="-19"/>
        </w:rPr>
        <w:t> </w:t>
      </w:r>
      <w:r>
        <w:rPr>
          <w:color w:val="231F20"/>
        </w:rPr>
        <w:t>channels</w:t>
      </w:r>
      <w:r>
        <w:rPr>
          <w:color w:val="231F20"/>
          <w:spacing w:val="-19"/>
        </w:rPr>
        <w:t> </w:t>
      </w:r>
      <w:r>
        <w:rPr>
          <w:color w:val="231F20"/>
        </w:rPr>
        <w:t>outside</w:t>
      </w:r>
      <w:r>
        <w:rPr>
          <w:color w:val="231F20"/>
          <w:spacing w:val="-19"/>
        </w:rPr>
        <w:t> </w:t>
      </w:r>
      <w:r>
        <w:rPr>
          <w:color w:val="231F20"/>
        </w:rPr>
        <w:t>the</w:t>
      </w:r>
      <w:r>
        <w:rPr>
          <w:color w:val="231F20"/>
          <w:spacing w:val="-19"/>
        </w:rPr>
        <w:t> </w:t>
      </w:r>
      <w:r>
        <w:rPr>
          <w:color w:val="231F20"/>
        </w:rPr>
        <w:t>im- mediate employee-employer relation- ship . . . , the statement did not have mutual</w:t>
      </w:r>
      <w:r>
        <w:rPr>
          <w:color w:val="231F20"/>
          <w:spacing w:val="-20"/>
        </w:rPr>
        <w:t> </w:t>
      </w:r>
      <w:r>
        <w:rPr>
          <w:color w:val="231F20"/>
        </w:rPr>
        <w:t>aid</w:t>
      </w:r>
      <w:r>
        <w:rPr>
          <w:color w:val="231F20"/>
          <w:spacing w:val="-20"/>
        </w:rPr>
        <w:t> </w:t>
      </w:r>
      <w:r>
        <w:rPr>
          <w:color w:val="231F20"/>
        </w:rPr>
        <w:t>or</w:t>
      </w:r>
      <w:r>
        <w:rPr>
          <w:color w:val="231F20"/>
          <w:spacing w:val="-19"/>
        </w:rPr>
        <w:t> </w:t>
      </w:r>
      <w:r>
        <w:rPr>
          <w:color w:val="231F20"/>
        </w:rPr>
        <w:t>protection</w:t>
      </w:r>
      <w:r>
        <w:rPr>
          <w:color w:val="231F20"/>
          <w:spacing w:val="-20"/>
        </w:rPr>
        <w:t> </w:t>
      </w:r>
      <w:r>
        <w:rPr>
          <w:color w:val="231F20"/>
        </w:rPr>
        <w:t>as</w:t>
      </w:r>
      <w:r>
        <w:rPr>
          <w:color w:val="231F20"/>
          <w:spacing w:val="-20"/>
        </w:rPr>
        <w:t> </w:t>
      </w:r>
      <w:r>
        <w:rPr>
          <w:color w:val="231F20"/>
        </w:rPr>
        <w:t>its</w:t>
      </w:r>
      <w:r>
        <w:rPr>
          <w:color w:val="231F20"/>
          <w:spacing w:val="-19"/>
        </w:rPr>
        <w:t> </w:t>
      </w:r>
      <w:r>
        <w:rPr>
          <w:color w:val="231F20"/>
        </w:rPr>
        <w:t>purpose”</w:t>
      </w:r>
    </w:p>
    <w:p>
      <w:pPr>
        <w:spacing w:before="7"/>
        <w:ind w:left="1612" w:right="0" w:firstLine="0"/>
        <w:jc w:val="both"/>
        <w:rPr>
          <w:i/>
          <w:sz w:val="20"/>
        </w:rPr>
      </w:pPr>
      <w:r>
        <w:rPr>
          <w:i/>
          <w:color w:val="231F20"/>
          <w:sz w:val="20"/>
        </w:rPr>
        <w:t>continued, next</w:t>
      </w:r>
      <w:r>
        <w:rPr>
          <w:i/>
          <w:color w:val="231F20"/>
          <w:spacing w:val="-8"/>
          <w:sz w:val="20"/>
        </w:rPr>
        <w:t> </w:t>
      </w:r>
      <w:r>
        <w:rPr>
          <w:i/>
          <w:color w:val="231F20"/>
          <w:sz w:val="20"/>
        </w:rPr>
        <w:t>page</w:t>
      </w:r>
    </w:p>
    <w:p>
      <w:pPr>
        <w:spacing w:after="0"/>
        <w:jc w:val="both"/>
        <w:rPr>
          <w:sz w:val="20"/>
        </w:rPr>
        <w:sectPr>
          <w:type w:val="continuous"/>
          <w:pgSz w:w="12240" w:h="15840"/>
          <w:pgMar w:top="500" w:bottom="280" w:left="720" w:right="540"/>
          <w:cols w:num="3" w:equalWidth="0">
            <w:col w:w="3528" w:space="72"/>
            <w:col w:w="3524" w:space="76"/>
            <w:col w:w="3780"/>
          </w:cols>
        </w:sectPr>
      </w:pPr>
    </w:p>
    <w:p>
      <w:pPr>
        <w:pStyle w:val="BodyText"/>
        <w:spacing w:line="254" w:lineRule="auto"/>
        <w:ind w:left="119" w:right="38"/>
        <w:jc w:val="both"/>
      </w:pPr>
      <w:r>
        <w:rPr>
          <w:color w:val="231F20"/>
        </w:rPr>
        <w:t>deviations, said the Board, had cre- ated “an-all-but-meaningless inquiry” designating</w:t>
      </w:r>
      <w:r>
        <w:rPr>
          <w:color w:val="231F20"/>
          <w:spacing w:val="-19"/>
        </w:rPr>
        <w:t> </w:t>
      </w:r>
      <w:r>
        <w:rPr>
          <w:color w:val="231F20"/>
        </w:rPr>
        <w:t>activity</w:t>
      </w:r>
      <w:r>
        <w:rPr>
          <w:color w:val="231F20"/>
          <w:spacing w:val="-18"/>
        </w:rPr>
        <w:t> </w:t>
      </w:r>
      <w:r>
        <w:rPr>
          <w:color w:val="231F20"/>
        </w:rPr>
        <w:t>as</w:t>
      </w:r>
      <w:r>
        <w:rPr>
          <w:color w:val="231F20"/>
          <w:spacing w:val="-19"/>
        </w:rPr>
        <w:t> </w:t>
      </w:r>
      <w:r>
        <w:rPr>
          <w:color w:val="231F20"/>
        </w:rPr>
        <w:t>“concerted”</w:t>
      </w:r>
      <w:r>
        <w:rPr>
          <w:color w:val="231F20"/>
          <w:spacing w:val="-18"/>
        </w:rPr>
        <w:t> </w:t>
      </w:r>
      <w:r>
        <w:rPr>
          <w:color w:val="231F20"/>
        </w:rPr>
        <w:t>and </w:t>
      </w:r>
      <w:r>
        <w:rPr>
          <w:color w:val="231F20"/>
          <w:spacing w:val="2"/>
        </w:rPr>
        <w:t>sufficient </w:t>
      </w:r>
      <w:r>
        <w:rPr>
          <w:color w:val="231F20"/>
        </w:rPr>
        <w:t>to </w:t>
      </w:r>
      <w:r>
        <w:rPr>
          <w:color w:val="231F20"/>
          <w:spacing w:val="2"/>
        </w:rPr>
        <w:t>satisfy </w:t>
      </w:r>
      <w:r>
        <w:rPr>
          <w:color w:val="231F20"/>
        </w:rPr>
        <w:t>the first </w:t>
      </w:r>
      <w:r>
        <w:rPr>
          <w:color w:val="231F20"/>
          <w:spacing w:val="2"/>
        </w:rPr>
        <w:t>require- </w:t>
      </w:r>
      <w:r>
        <w:rPr>
          <w:color w:val="231F20"/>
        </w:rPr>
        <w:t>ment for protection under Section 7 of the NLRA when it involves the use of “the first-person plural pronoun in the presence</w:t>
      </w:r>
      <w:r>
        <w:rPr>
          <w:color w:val="231F20"/>
          <w:spacing w:val="29"/>
        </w:rPr>
        <w:t> </w:t>
      </w:r>
      <w:r>
        <w:rPr>
          <w:color w:val="231F20"/>
        </w:rPr>
        <w:t>of</w:t>
      </w:r>
      <w:r>
        <w:rPr>
          <w:color w:val="231F20"/>
          <w:spacing w:val="29"/>
        </w:rPr>
        <w:t> </w:t>
      </w:r>
      <w:r>
        <w:rPr>
          <w:color w:val="231F20"/>
        </w:rPr>
        <w:t>fellow</w:t>
      </w:r>
      <w:r>
        <w:rPr>
          <w:color w:val="231F20"/>
          <w:spacing w:val="29"/>
        </w:rPr>
        <w:t> </w:t>
      </w:r>
      <w:r>
        <w:rPr>
          <w:color w:val="231F20"/>
        </w:rPr>
        <w:t>employees</w:t>
      </w:r>
      <w:r>
        <w:rPr>
          <w:color w:val="231F20"/>
          <w:spacing w:val="30"/>
        </w:rPr>
        <w:t> </w:t>
      </w:r>
      <w:r>
        <w:rPr>
          <w:color w:val="231F20"/>
        </w:rPr>
        <w:t>and</w:t>
      </w:r>
      <w:r>
        <w:rPr>
          <w:color w:val="231F20"/>
          <w:spacing w:val="29"/>
        </w:rPr>
        <w:t> </w:t>
      </w:r>
      <w:r>
        <w:rPr>
          <w:color w:val="231F20"/>
        </w:rPr>
        <w:t>a</w:t>
      </w:r>
    </w:p>
    <w:p>
      <w:pPr>
        <w:pStyle w:val="BodyText"/>
        <w:rPr>
          <w:sz w:val="18"/>
        </w:rPr>
      </w:pPr>
      <w:r>
        <w:rPr/>
        <w:br w:type="column"/>
      </w:r>
      <w:r>
        <w:rPr>
          <w:sz w:val="18"/>
        </w:rPr>
      </w:r>
    </w:p>
    <w:p>
      <w:pPr>
        <w:pStyle w:val="BodyText"/>
        <w:rPr>
          <w:sz w:val="18"/>
        </w:rPr>
      </w:pPr>
    </w:p>
    <w:p>
      <w:pPr>
        <w:pStyle w:val="BodyText"/>
        <w:rPr>
          <w:sz w:val="18"/>
        </w:rPr>
      </w:pPr>
    </w:p>
    <w:p>
      <w:pPr>
        <w:pStyle w:val="BodyText"/>
        <w:spacing w:before="7"/>
        <w:rPr>
          <w:sz w:val="25"/>
        </w:rPr>
      </w:pPr>
    </w:p>
    <w:p>
      <w:pPr>
        <w:spacing w:line="182" w:lineRule="exact" w:before="0"/>
        <w:ind w:left="119" w:right="0" w:firstLine="0"/>
        <w:jc w:val="center"/>
        <w:rPr>
          <w:b/>
          <w:sz w:val="16"/>
        </w:rPr>
      </w:pPr>
      <w:r>
        <w:rPr>
          <w:b/>
          <w:color w:val="231F20"/>
          <w:sz w:val="16"/>
        </w:rPr>
        <w:t>Cathleen A. Scott,</w:t>
      </w:r>
      <w:r>
        <w:rPr>
          <w:b/>
          <w:color w:val="231F20"/>
          <w:spacing w:val="-22"/>
          <w:sz w:val="16"/>
        </w:rPr>
        <w:t> </w:t>
      </w:r>
      <w:r>
        <w:rPr>
          <w:b/>
          <w:color w:val="231F20"/>
          <w:sz w:val="16"/>
        </w:rPr>
        <w:t>Jupiter</w:t>
      </w:r>
    </w:p>
    <w:p>
      <w:pPr>
        <w:spacing w:line="182" w:lineRule="exact" w:before="0"/>
        <w:ind w:left="120" w:right="0" w:firstLine="0"/>
        <w:jc w:val="center"/>
        <w:rPr>
          <w:i/>
          <w:sz w:val="16"/>
        </w:rPr>
      </w:pPr>
      <w:r>
        <w:rPr>
          <w:i/>
          <w:color w:val="231F20"/>
          <w:sz w:val="16"/>
        </w:rPr>
        <w:t>Chair</w:t>
      </w:r>
    </w:p>
    <w:p>
      <w:pPr>
        <w:spacing w:line="182" w:lineRule="exact" w:before="116"/>
        <w:ind w:left="119" w:right="0" w:firstLine="0"/>
        <w:jc w:val="center"/>
        <w:rPr>
          <w:b/>
          <w:sz w:val="16"/>
        </w:rPr>
      </w:pPr>
      <w:r>
        <w:rPr>
          <w:b/>
          <w:color w:val="231F20"/>
          <w:sz w:val="16"/>
        </w:rPr>
        <w:t>David W. Adams, Tampa</w:t>
      </w:r>
    </w:p>
    <w:p>
      <w:pPr>
        <w:spacing w:line="182" w:lineRule="exact" w:before="0"/>
        <w:ind w:left="120" w:right="0" w:firstLine="0"/>
        <w:jc w:val="center"/>
        <w:rPr>
          <w:i/>
          <w:sz w:val="16"/>
        </w:rPr>
      </w:pPr>
      <w:r>
        <w:rPr>
          <w:i/>
          <w:color w:val="231F20"/>
          <w:sz w:val="16"/>
        </w:rPr>
        <w:t>Chair-Elect</w:t>
      </w:r>
    </w:p>
    <w:p>
      <w:pPr>
        <w:spacing w:line="316" w:lineRule="auto" w:before="31"/>
        <w:ind w:left="577" w:right="267" w:hanging="497"/>
        <w:jc w:val="left"/>
        <w:rPr>
          <w:sz w:val="16"/>
        </w:rPr>
      </w:pPr>
      <w:r>
        <w:rPr/>
        <w:br w:type="column"/>
      </w:r>
      <w:r>
        <w:rPr>
          <w:i/>
          <w:color w:val="231F20"/>
          <w:sz w:val="16"/>
        </w:rPr>
        <w:t>The Checkoff </w:t>
      </w:r>
      <w:r>
        <w:rPr>
          <w:color w:val="231F20"/>
          <w:sz w:val="16"/>
        </w:rPr>
        <w:t>is prepared and published by The</w:t>
      </w:r>
      <w:r>
        <w:rPr>
          <w:color w:val="231F20"/>
          <w:spacing w:val="-31"/>
          <w:sz w:val="16"/>
        </w:rPr>
        <w:t> </w:t>
      </w:r>
      <w:r>
        <w:rPr>
          <w:color w:val="231F20"/>
          <w:sz w:val="16"/>
        </w:rPr>
        <w:t>Florida Bar Labor and Employment Law</w:t>
      </w:r>
      <w:r>
        <w:rPr>
          <w:color w:val="231F20"/>
          <w:spacing w:val="-5"/>
          <w:sz w:val="16"/>
        </w:rPr>
        <w:t> </w:t>
      </w:r>
      <w:r>
        <w:rPr>
          <w:color w:val="231F20"/>
          <w:sz w:val="16"/>
        </w:rPr>
        <w:t>Section.</w:t>
      </w:r>
    </w:p>
    <w:p>
      <w:pPr>
        <w:pStyle w:val="BodyText"/>
        <w:rPr>
          <w:sz w:val="18"/>
        </w:rPr>
      </w:pPr>
    </w:p>
    <w:p>
      <w:pPr>
        <w:pStyle w:val="BodyText"/>
        <w:spacing w:before="8"/>
        <w:rPr>
          <w:sz w:val="16"/>
        </w:rPr>
      </w:pPr>
    </w:p>
    <w:p>
      <w:pPr>
        <w:spacing w:line="182" w:lineRule="exact" w:before="0"/>
        <w:ind w:left="1223" w:right="973" w:firstLine="0"/>
        <w:jc w:val="center"/>
        <w:rPr>
          <w:b/>
          <w:sz w:val="16"/>
        </w:rPr>
      </w:pPr>
      <w:r>
        <w:rPr/>
        <w:pict>
          <v:group style="position:absolute;margin-left:222pt;margin-top:-75.719101pt;width:348pt;height:222pt;mso-position-horizontal-relative:page;mso-position-vertical-relative:paragraph;z-index:-253170688" coordorigin="4440,-1514" coordsize="6960,4440">
            <v:rect style="position:absolute;left:4450;top:-1101;width:6940;height:4017" filled="true" fillcolor="#c7d7ef" stroked="false">
              <v:fill type="solid"/>
            </v:rect>
            <v:rect style="position:absolute;left:4450;top:-1101;width:6940;height:4017" filled="false" stroked="true" strokeweight="1pt" strokecolor="#231f20">
              <v:stroke dashstyle="solid"/>
            </v:rect>
            <v:rect style="position:absolute;left:4630;top:-1345;width:2512;height:863" filled="true" fillcolor="#ffffff" stroked="false">
              <v:fill type="solid"/>
            </v:rect>
            <v:rect style="position:absolute;left:4630;top:-1345;width:2512;height:863" filled="false" stroked="true" strokeweight="1.0pt" strokecolor="#231f20">
              <v:stroke dashstyle="solid"/>
            </v:rect>
            <v:shape style="position:absolute;left:5224;top:-1515;width:470;height:359" type="#_x0000_t75" stroked="false">
              <v:imagedata r:id="rId21" o:title=""/>
            </v:shape>
            <v:shape style="position:absolute;left:4675;top:-1156;width:713;height:369" type="#_x0000_t75" stroked="false">
              <v:imagedata r:id="rId22" o:title=""/>
            </v:shape>
            <v:shape style="position:absolute;left:4806;top:-787;width:326;height:245" type="#_x0000_t75" stroked="false">
              <v:imagedata r:id="rId23" o:title=""/>
            </v:shape>
            <v:line style="position:absolute" from="4580,-184" to="11220,-184" stroked="true" strokeweight="1pt" strokecolor="#231f20">
              <v:stroke dashstyle="dot"/>
            </v:line>
            <v:shape style="position:absolute;left:0;top:4005;width:6700;height:2" coordorigin="0,4006" coordsize="6700,0" path="m4540,-184l4540,-184m11240,-184l11240,-184e" filled="false" stroked="true" strokeweight="1pt" strokecolor="#231f20">
              <v:path arrowok="t"/>
              <v:stroke dashstyle="solid"/>
            </v:shape>
            <v:line style="position:absolute" from="4580,2096" to="11220,2096" stroked="true" strokeweight="1pt" strokecolor="#231f20">
              <v:stroke dashstyle="dot"/>
            </v:line>
            <v:shape style="position:absolute;left:0;top:4005;width:6700;height:2" coordorigin="0,4006" coordsize="6700,0" path="m4540,2096l4540,2096m11240,2096l11240,2096e" filled="false" stroked="true" strokeweight="1pt" strokecolor="#231f20">
              <v:path arrowok="t"/>
              <v:stroke dashstyle="solid"/>
            </v:shape>
            <v:shape style="position:absolute;left:4630;top:-1101;width:2512;height:619" type="#_x0000_t202" filled="false" stroked="true" strokeweight="1pt" strokecolor="#231f20">
              <v:textbox inset="0,0,0,0">
                <w:txbxContent>
                  <w:p>
                    <w:pPr>
                      <w:spacing w:before="97"/>
                      <w:ind w:left="994" w:right="0" w:firstLine="0"/>
                      <w:jc w:val="left"/>
                      <w:rPr>
                        <w:rFonts w:ascii="Verdana"/>
                        <w:sz w:val="28"/>
                      </w:rPr>
                    </w:pPr>
                    <w:r>
                      <w:rPr>
                        <w:rFonts w:ascii="Verdana"/>
                        <w:color w:val="231F20"/>
                        <w:w w:val="95"/>
                        <w:sz w:val="28"/>
                      </w:rPr>
                      <w:t>CHECKOFF</w:t>
                    </w:r>
                  </w:p>
                </w:txbxContent>
              </v:textbox>
              <v:stroke dashstyle="solid"/>
              <w10:wrap type="none"/>
            </v:shape>
            <v:shape style="position:absolute;left:4630;top:-1345;width:2512;height:245" type="#_x0000_t202" filled="false" stroked="true" strokeweight="1pt" strokecolor="#231f20">
              <v:textbox inset="0,0,0,0">
                <w:txbxContent>
                  <w:p>
                    <w:pPr>
                      <w:spacing w:line="158" w:lineRule="exact" w:before="66"/>
                      <w:ind w:left="964" w:right="1131" w:firstLine="0"/>
                      <w:jc w:val="center"/>
                      <w:rPr>
                        <w:rFonts w:ascii="Verdana"/>
                        <w:sz w:val="22"/>
                      </w:rPr>
                    </w:pPr>
                    <w:r>
                      <w:rPr>
                        <w:rFonts w:ascii="Verdana"/>
                        <w:color w:val="231F20"/>
                        <w:sz w:val="22"/>
                      </w:rPr>
                      <w:t>the</w:t>
                    </w:r>
                  </w:p>
                </w:txbxContent>
              </v:textbox>
              <v:stroke dashstyle="solid"/>
              <w10:wrap type="none"/>
            </v:shape>
            <w10:wrap type="none"/>
          </v:group>
        </w:pict>
      </w:r>
      <w:r>
        <w:rPr>
          <w:b/>
          <w:color w:val="231F20"/>
          <w:sz w:val="16"/>
        </w:rPr>
        <w:t>Zascha Blanco Abbott,</w:t>
      </w:r>
      <w:r>
        <w:rPr>
          <w:b/>
          <w:color w:val="231F20"/>
          <w:spacing w:val="-18"/>
          <w:sz w:val="16"/>
        </w:rPr>
        <w:t> </w:t>
      </w:r>
      <w:r>
        <w:rPr>
          <w:b/>
          <w:color w:val="231F20"/>
          <w:sz w:val="16"/>
        </w:rPr>
        <w:t>Miami</w:t>
      </w:r>
    </w:p>
    <w:p>
      <w:pPr>
        <w:spacing w:line="182" w:lineRule="exact" w:before="0"/>
        <w:ind w:left="1223" w:right="973" w:firstLine="0"/>
        <w:jc w:val="center"/>
        <w:rPr>
          <w:i/>
          <w:sz w:val="16"/>
        </w:rPr>
      </w:pPr>
      <w:r>
        <w:rPr>
          <w:i/>
          <w:color w:val="231F20"/>
          <w:sz w:val="16"/>
        </w:rPr>
        <w:t>Immediate Past Chair</w:t>
      </w:r>
    </w:p>
    <w:p>
      <w:pPr>
        <w:spacing w:line="182" w:lineRule="exact" w:before="116"/>
        <w:ind w:left="1222" w:right="973" w:firstLine="0"/>
        <w:jc w:val="center"/>
        <w:rPr>
          <w:b/>
          <w:sz w:val="16"/>
        </w:rPr>
      </w:pPr>
      <w:r>
        <w:rPr>
          <w:b/>
          <w:color w:val="231F20"/>
          <w:sz w:val="16"/>
        </w:rPr>
        <w:t>Carlo D. Marichal, Plantation</w:t>
      </w:r>
    </w:p>
    <w:p>
      <w:pPr>
        <w:spacing w:line="182" w:lineRule="exact" w:before="0"/>
        <w:ind w:left="1223" w:right="973" w:firstLine="0"/>
        <w:jc w:val="center"/>
        <w:rPr>
          <w:i/>
          <w:sz w:val="16"/>
        </w:rPr>
      </w:pPr>
      <w:r>
        <w:rPr>
          <w:i/>
          <w:color w:val="231F20"/>
          <w:sz w:val="16"/>
        </w:rPr>
        <w:t>Editor</w:t>
      </w:r>
    </w:p>
    <w:p>
      <w:pPr>
        <w:spacing w:after="0" w:line="182" w:lineRule="exact"/>
        <w:jc w:val="center"/>
        <w:rPr>
          <w:sz w:val="16"/>
        </w:rPr>
        <w:sectPr>
          <w:type w:val="continuous"/>
          <w:pgSz w:w="12240" w:h="15840"/>
          <w:pgMar w:top="500" w:bottom="280" w:left="720" w:right="540"/>
          <w:cols w:num="3" w:equalWidth="0">
            <w:col w:w="3522" w:space="908"/>
            <w:col w:w="2061" w:space="39"/>
            <w:col w:w="4450"/>
          </w:cols>
        </w:sectPr>
      </w:pPr>
    </w:p>
    <w:p>
      <w:pPr>
        <w:pStyle w:val="BodyText"/>
        <w:spacing w:line="215" w:lineRule="exact"/>
        <w:ind w:left="119"/>
        <w:rPr>
          <w:sz w:val="12"/>
        </w:rPr>
      </w:pPr>
      <w:r>
        <w:rPr>
          <w:color w:val="231F20"/>
        </w:rPr>
        <w:t>supervisor.”</w:t>
      </w:r>
      <w:r>
        <w:rPr>
          <w:color w:val="231F20"/>
          <w:position w:val="7"/>
          <w:sz w:val="12"/>
        </w:rPr>
        <w:t>4</w:t>
      </w:r>
    </w:p>
    <w:p>
      <w:pPr>
        <w:pStyle w:val="BodyText"/>
        <w:spacing w:line="254" w:lineRule="auto" w:before="13"/>
        <w:ind w:left="120" w:right="38" w:firstLine="180"/>
        <w:jc w:val="both"/>
      </w:pPr>
      <w:r>
        <w:rPr>
          <w:color w:val="231F20"/>
        </w:rPr>
        <w:t>The</w:t>
      </w:r>
      <w:r>
        <w:rPr>
          <w:color w:val="231F20"/>
          <w:spacing w:val="-11"/>
        </w:rPr>
        <w:t> </w:t>
      </w:r>
      <w:r>
        <w:rPr>
          <w:color w:val="231F20"/>
        </w:rPr>
        <w:t>Board</w:t>
      </w:r>
      <w:r>
        <w:rPr>
          <w:color w:val="231F20"/>
          <w:spacing w:val="-11"/>
        </w:rPr>
        <w:t> </w:t>
      </w:r>
      <w:r>
        <w:rPr>
          <w:color w:val="231F20"/>
        </w:rPr>
        <w:t>reaffirmed</w:t>
      </w:r>
      <w:r>
        <w:rPr>
          <w:color w:val="231F20"/>
          <w:spacing w:val="-11"/>
        </w:rPr>
        <w:t> </w:t>
      </w:r>
      <w:r>
        <w:rPr>
          <w:color w:val="231F20"/>
        </w:rPr>
        <w:t>“the</w:t>
      </w:r>
      <w:r>
        <w:rPr>
          <w:color w:val="231F20"/>
          <w:spacing w:val="-11"/>
        </w:rPr>
        <w:t> </w:t>
      </w:r>
      <w:r>
        <w:rPr>
          <w:color w:val="231F20"/>
        </w:rPr>
        <w:t>standards </w:t>
      </w:r>
      <w:r>
        <w:rPr>
          <w:color w:val="231F20"/>
          <w:spacing w:val="2"/>
        </w:rPr>
        <w:t>articulated </w:t>
      </w:r>
      <w:r>
        <w:rPr>
          <w:color w:val="231F20"/>
        </w:rPr>
        <w:t>in </w:t>
      </w:r>
      <w:r>
        <w:rPr>
          <w:color w:val="231F20"/>
          <w:spacing w:val="2"/>
        </w:rPr>
        <w:t>Meyers </w:t>
      </w:r>
      <w:r>
        <w:rPr>
          <w:color w:val="231F20"/>
        </w:rPr>
        <w:t>I and </w:t>
      </w:r>
      <w:r>
        <w:rPr>
          <w:color w:val="231F20"/>
          <w:spacing w:val="3"/>
        </w:rPr>
        <w:t>[Meyers </w:t>
      </w:r>
      <w:r>
        <w:rPr>
          <w:color w:val="231F20"/>
          <w:spacing w:val="7"/>
        </w:rPr>
        <w:t>II], </w:t>
      </w:r>
      <w:r>
        <w:rPr>
          <w:color w:val="231F20"/>
          <w:spacing w:val="8"/>
        </w:rPr>
        <w:t>under which </w:t>
      </w:r>
      <w:r>
        <w:rPr>
          <w:color w:val="231F20"/>
          <w:spacing w:val="9"/>
        </w:rPr>
        <w:t>individual </w:t>
      </w:r>
      <w:r>
        <w:rPr>
          <w:color w:val="231F20"/>
          <w:spacing w:val="8"/>
        </w:rPr>
        <w:t>griping </w:t>
      </w:r>
      <w:r>
        <w:rPr>
          <w:color w:val="231F20"/>
        </w:rPr>
        <w:t>does not qualify as concerted</w:t>
      </w:r>
      <w:r>
        <w:rPr>
          <w:color w:val="231F20"/>
          <w:spacing w:val="17"/>
        </w:rPr>
        <w:t> </w:t>
      </w:r>
      <w:r>
        <w:rPr>
          <w:color w:val="231F20"/>
        </w:rPr>
        <w:t>activity</w:t>
      </w:r>
    </w:p>
    <w:p>
      <w:pPr>
        <w:spacing w:line="108" w:lineRule="exact" w:before="0"/>
        <w:ind w:left="95" w:right="16" w:firstLine="0"/>
        <w:jc w:val="center"/>
        <w:rPr>
          <w:b/>
          <w:sz w:val="16"/>
        </w:rPr>
      </w:pPr>
      <w:r>
        <w:rPr/>
        <w:br w:type="column"/>
      </w:r>
      <w:r>
        <w:rPr>
          <w:b/>
          <w:color w:val="231F20"/>
          <w:sz w:val="16"/>
        </w:rPr>
        <w:t>Hon. Alan Orantes Forst, West Palm Beach</w:t>
      </w:r>
    </w:p>
    <w:p>
      <w:pPr>
        <w:spacing w:line="182" w:lineRule="exact" w:before="0"/>
        <w:ind w:left="95" w:right="15" w:firstLine="0"/>
        <w:jc w:val="center"/>
        <w:rPr>
          <w:i/>
          <w:sz w:val="16"/>
        </w:rPr>
      </w:pPr>
      <w:r>
        <w:rPr>
          <w:i/>
          <w:color w:val="231F20"/>
          <w:sz w:val="16"/>
        </w:rPr>
        <w:t>Secretary/Treasurer</w:t>
      </w:r>
    </w:p>
    <w:p>
      <w:pPr>
        <w:spacing w:line="182" w:lineRule="exact" w:before="116"/>
        <w:ind w:left="95" w:right="16" w:firstLine="0"/>
        <w:jc w:val="center"/>
        <w:rPr>
          <w:b/>
          <w:sz w:val="16"/>
        </w:rPr>
      </w:pPr>
      <w:r>
        <w:rPr>
          <w:b/>
          <w:color w:val="231F20"/>
          <w:sz w:val="16"/>
        </w:rPr>
        <w:t>Robyn S. Hankins, Jupiter</w:t>
      </w:r>
    </w:p>
    <w:p>
      <w:pPr>
        <w:spacing w:line="182" w:lineRule="exact" w:before="0"/>
        <w:ind w:left="95" w:right="16" w:firstLine="0"/>
        <w:jc w:val="center"/>
        <w:rPr>
          <w:i/>
          <w:sz w:val="16"/>
        </w:rPr>
      </w:pPr>
      <w:r>
        <w:rPr>
          <w:i/>
          <w:color w:val="231F20"/>
          <w:sz w:val="16"/>
        </w:rPr>
        <w:t>Legal Education Director</w:t>
      </w:r>
    </w:p>
    <w:p>
      <w:pPr>
        <w:spacing w:line="108" w:lineRule="exact" w:before="0"/>
        <w:ind w:left="94" w:right="868" w:firstLine="0"/>
        <w:jc w:val="center"/>
        <w:rPr>
          <w:b/>
          <w:sz w:val="16"/>
        </w:rPr>
      </w:pPr>
      <w:r>
        <w:rPr/>
        <w:br w:type="column"/>
      </w:r>
      <w:r>
        <w:rPr>
          <w:b/>
          <w:color w:val="231F20"/>
          <w:sz w:val="16"/>
        </w:rPr>
        <w:t>Angie Froelich, Tallahassee</w:t>
      </w:r>
    </w:p>
    <w:p>
      <w:pPr>
        <w:spacing w:line="182" w:lineRule="exact" w:before="0"/>
        <w:ind w:left="94" w:right="868" w:firstLine="0"/>
        <w:jc w:val="center"/>
        <w:rPr>
          <w:i/>
          <w:sz w:val="16"/>
        </w:rPr>
      </w:pPr>
      <w:r>
        <w:rPr>
          <w:i/>
          <w:color w:val="231F20"/>
          <w:sz w:val="16"/>
        </w:rPr>
        <w:t>Program Administrator</w:t>
      </w:r>
    </w:p>
    <w:p>
      <w:pPr>
        <w:spacing w:line="182" w:lineRule="exact" w:before="116"/>
        <w:ind w:left="94" w:right="869" w:firstLine="0"/>
        <w:jc w:val="center"/>
        <w:rPr>
          <w:b/>
          <w:sz w:val="16"/>
        </w:rPr>
      </w:pPr>
      <w:r>
        <w:rPr>
          <w:b/>
          <w:color w:val="231F20"/>
          <w:sz w:val="16"/>
        </w:rPr>
        <w:t>Donna Richardson, Tallahassee</w:t>
      </w:r>
    </w:p>
    <w:p>
      <w:pPr>
        <w:spacing w:line="182" w:lineRule="exact" w:before="0"/>
        <w:ind w:left="94" w:right="868" w:firstLine="0"/>
        <w:jc w:val="center"/>
        <w:rPr>
          <w:i/>
          <w:sz w:val="16"/>
        </w:rPr>
      </w:pPr>
      <w:r>
        <w:rPr>
          <w:i/>
          <w:color w:val="231F20"/>
          <w:sz w:val="16"/>
        </w:rPr>
        <w:t>Design/Layout</w:t>
      </w:r>
    </w:p>
    <w:p>
      <w:pPr>
        <w:spacing w:after="0" w:line="182" w:lineRule="exact"/>
        <w:jc w:val="center"/>
        <w:rPr>
          <w:sz w:val="16"/>
        </w:rPr>
        <w:sectPr>
          <w:type w:val="continuous"/>
          <w:pgSz w:w="12240" w:h="15840"/>
          <w:pgMar w:top="500" w:bottom="280" w:left="720" w:right="540"/>
          <w:cols w:num="3" w:equalWidth="0">
            <w:col w:w="3529" w:space="244"/>
            <w:col w:w="3415" w:space="369"/>
            <w:col w:w="3423"/>
          </w:cols>
        </w:sectPr>
      </w:pPr>
    </w:p>
    <w:p>
      <w:pPr>
        <w:pStyle w:val="BodyText"/>
        <w:spacing w:line="254" w:lineRule="auto"/>
        <w:ind w:left="120" w:right="38"/>
        <w:jc w:val="both"/>
      </w:pPr>
      <w:r>
        <w:rPr>
          <w:color w:val="231F20"/>
        </w:rPr>
        <w:t>solely because it is carried out in the presence of other employees and a supervisor and includes the use of</w:t>
      </w:r>
      <w:r>
        <w:rPr>
          <w:color w:val="231F20"/>
          <w:spacing w:val="-24"/>
        </w:rPr>
        <w:t> </w:t>
      </w:r>
      <w:r>
        <w:rPr>
          <w:color w:val="231F20"/>
        </w:rPr>
        <w:t>the</w:t>
      </w:r>
    </w:p>
    <w:p>
      <w:pPr>
        <w:spacing w:line="235" w:lineRule="auto" w:before="48"/>
        <w:ind w:left="120" w:right="419" w:firstLine="0"/>
        <w:jc w:val="left"/>
        <w:rPr>
          <w:sz w:val="16"/>
        </w:rPr>
      </w:pPr>
      <w:r>
        <w:rPr/>
        <w:br w:type="column"/>
      </w:r>
      <w:r>
        <w:rPr>
          <w:color w:val="231F20"/>
          <w:sz w:val="16"/>
        </w:rPr>
        <w:t>Statements</w:t>
      </w:r>
      <w:r>
        <w:rPr>
          <w:color w:val="231F20"/>
          <w:spacing w:val="-19"/>
          <w:sz w:val="16"/>
        </w:rPr>
        <w:t> </w:t>
      </w:r>
      <w:r>
        <w:rPr>
          <w:color w:val="231F20"/>
          <w:sz w:val="16"/>
        </w:rPr>
        <w:t>or</w:t>
      </w:r>
      <w:r>
        <w:rPr>
          <w:color w:val="231F20"/>
          <w:spacing w:val="-18"/>
          <w:sz w:val="16"/>
        </w:rPr>
        <w:t> </w:t>
      </w:r>
      <w:r>
        <w:rPr>
          <w:color w:val="231F20"/>
          <w:sz w:val="16"/>
        </w:rPr>
        <w:t>expressions</w:t>
      </w:r>
      <w:r>
        <w:rPr>
          <w:color w:val="231F20"/>
          <w:spacing w:val="-18"/>
          <w:sz w:val="16"/>
        </w:rPr>
        <w:t> </w:t>
      </w:r>
      <w:r>
        <w:rPr>
          <w:color w:val="231F20"/>
          <w:sz w:val="16"/>
        </w:rPr>
        <w:t>of</w:t>
      </w:r>
      <w:r>
        <w:rPr>
          <w:color w:val="231F20"/>
          <w:spacing w:val="-18"/>
          <w:sz w:val="16"/>
        </w:rPr>
        <w:t> </w:t>
      </w:r>
      <w:r>
        <w:rPr>
          <w:color w:val="231F20"/>
          <w:sz w:val="16"/>
        </w:rPr>
        <w:t>opinion</w:t>
      </w:r>
      <w:r>
        <w:rPr>
          <w:color w:val="231F20"/>
          <w:spacing w:val="-18"/>
          <w:sz w:val="16"/>
        </w:rPr>
        <w:t> </w:t>
      </w:r>
      <w:r>
        <w:rPr>
          <w:color w:val="231F20"/>
          <w:sz w:val="16"/>
        </w:rPr>
        <w:t>or</w:t>
      </w:r>
      <w:r>
        <w:rPr>
          <w:color w:val="231F20"/>
          <w:spacing w:val="-18"/>
          <w:sz w:val="16"/>
        </w:rPr>
        <w:t> </w:t>
      </w:r>
      <w:r>
        <w:rPr>
          <w:color w:val="231F20"/>
          <w:sz w:val="16"/>
        </w:rPr>
        <w:t>comments</w:t>
      </w:r>
      <w:r>
        <w:rPr>
          <w:color w:val="231F20"/>
          <w:spacing w:val="-18"/>
          <w:sz w:val="16"/>
        </w:rPr>
        <w:t> </w:t>
      </w:r>
      <w:r>
        <w:rPr>
          <w:color w:val="231F20"/>
          <w:sz w:val="16"/>
        </w:rPr>
        <w:t>appearing</w:t>
      </w:r>
      <w:r>
        <w:rPr>
          <w:color w:val="231F20"/>
          <w:spacing w:val="-18"/>
          <w:sz w:val="16"/>
        </w:rPr>
        <w:t> </w:t>
      </w:r>
      <w:r>
        <w:rPr>
          <w:color w:val="231F20"/>
          <w:sz w:val="16"/>
        </w:rPr>
        <w:t>herein</w:t>
      </w:r>
      <w:r>
        <w:rPr>
          <w:color w:val="231F20"/>
          <w:spacing w:val="-18"/>
          <w:sz w:val="16"/>
        </w:rPr>
        <w:t> </w:t>
      </w:r>
      <w:r>
        <w:rPr>
          <w:color w:val="231F20"/>
          <w:sz w:val="16"/>
        </w:rPr>
        <w:t>are</w:t>
      </w:r>
      <w:r>
        <w:rPr>
          <w:color w:val="231F20"/>
          <w:spacing w:val="-18"/>
          <w:sz w:val="16"/>
        </w:rPr>
        <w:t> </w:t>
      </w:r>
      <w:r>
        <w:rPr>
          <w:color w:val="231F20"/>
          <w:sz w:val="16"/>
        </w:rPr>
        <w:t>those</w:t>
      </w:r>
      <w:r>
        <w:rPr>
          <w:color w:val="231F20"/>
          <w:spacing w:val="-18"/>
          <w:sz w:val="16"/>
        </w:rPr>
        <w:t> </w:t>
      </w:r>
      <w:r>
        <w:rPr>
          <w:color w:val="231F20"/>
          <w:sz w:val="16"/>
        </w:rPr>
        <w:t>of</w:t>
      </w:r>
      <w:r>
        <w:rPr>
          <w:color w:val="231F20"/>
          <w:spacing w:val="-18"/>
          <w:sz w:val="16"/>
        </w:rPr>
        <w:t> </w:t>
      </w:r>
      <w:r>
        <w:rPr>
          <w:color w:val="231F20"/>
          <w:sz w:val="16"/>
        </w:rPr>
        <w:t>the</w:t>
      </w:r>
      <w:r>
        <w:rPr>
          <w:color w:val="231F20"/>
          <w:spacing w:val="-18"/>
          <w:sz w:val="16"/>
        </w:rPr>
        <w:t> </w:t>
      </w:r>
      <w:r>
        <w:rPr>
          <w:color w:val="231F20"/>
          <w:sz w:val="16"/>
        </w:rPr>
        <w:t>contributing authors, not The Florida </w:t>
      </w:r>
      <w:r>
        <w:rPr>
          <w:color w:val="231F20"/>
          <w:spacing w:val="-3"/>
          <w:sz w:val="16"/>
        </w:rPr>
        <w:t>Bar, </w:t>
      </w:r>
      <w:r>
        <w:rPr>
          <w:color w:val="231F20"/>
          <w:sz w:val="16"/>
        </w:rPr>
        <w:t>the Labor and Employment Law Section, or the</w:t>
      </w:r>
      <w:r>
        <w:rPr>
          <w:color w:val="231F20"/>
          <w:spacing w:val="-12"/>
          <w:sz w:val="16"/>
        </w:rPr>
        <w:t> </w:t>
      </w:r>
      <w:r>
        <w:rPr>
          <w:color w:val="231F20"/>
          <w:sz w:val="16"/>
        </w:rPr>
        <w:t>Editors.</w:t>
      </w:r>
    </w:p>
    <w:p>
      <w:pPr>
        <w:spacing w:after="0" w:line="235" w:lineRule="auto"/>
        <w:jc w:val="left"/>
        <w:rPr>
          <w:sz w:val="16"/>
        </w:rPr>
        <w:sectPr>
          <w:type w:val="continuous"/>
          <w:pgSz w:w="12240" w:h="15840"/>
          <w:pgMar w:top="500" w:bottom="280" w:left="720" w:right="540"/>
          <w:cols w:num="2" w:equalWidth="0">
            <w:col w:w="3520" w:space="260"/>
            <w:col w:w="7200"/>
          </w:cols>
        </w:sectPr>
      </w:pPr>
    </w:p>
    <w:p>
      <w:pPr>
        <w:pStyle w:val="BodyText"/>
      </w:pPr>
    </w:p>
    <w:p>
      <w:pPr>
        <w:pStyle w:val="BodyText"/>
      </w:pPr>
    </w:p>
    <w:p>
      <w:pPr>
        <w:pStyle w:val="BodyText"/>
      </w:pPr>
    </w:p>
    <w:p>
      <w:pPr>
        <w:pStyle w:val="BodyText"/>
        <w:spacing w:before="7"/>
        <w:rPr>
          <w:sz w:val="24"/>
        </w:rPr>
      </w:pPr>
    </w:p>
    <w:p>
      <w:pPr>
        <w:pStyle w:val="BodyText"/>
        <w:spacing w:line="20" w:lineRule="exact"/>
        <w:ind w:left="110"/>
        <w:rPr>
          <w:sz w:val="2"/>
        </w:rPr>
      </w:pPr>
      <w:r>
        <w:rPr>
          <w:sz w:val="2"/>
        </w:rPr>
        <w:pict>
          <v:group style="width:168pt;height:1pt;mso-position-horizontal-relative:char;mso-position-vertical-relative:line" coordorigin="0,0" coordsize="3360,20">
            <v:line style="position:absolute" from="0,10" to="3360,10" stroked="true" strokeweight="1pt" strokecolor="#231f20">
              <v:stroke dashstyle="solid"/>
            </v:line>
          </v:group>
        </w:pict>
      </w:r>
      <w:r>
        <w:rPr>
          <w:sz w:val="2"/>
        </w:rPr>
      </w:r>
    </w:p>
    <w:p>
      <w:pPr>
        <w:spacing w:before="92"/>
        <w:ind w:left="120" w:right="0" w:firstLine="0"/>
        <w:jc w:val="left"/>
        <w:rPr>
          <w:b/>
          <w:sz w:val="20"/>
        </w:rPr>
      </w:pPr>
      <w:r>
        <w:rPr/>
        <w:drawing>
          <wp:anchor distT="0" distB="0" distL="0" distR="0" allowOverlap="1" layoutInCell="1" locked="0" behindDoc="0" simplePos="0" relativeHeight="251684864">
            <wp:simplePos x="0" y="0"/>
            <wp:positionH relativeFrom="page">
              <wp:posOffset>2819400</wp:posOffset>
            </wp:positionH>
            <wp:positionV relativeFrom="paragraph">
              <wp:posOffset>-21595</wp:posOffset>
            </wp:positionV>
            <wp:extent cx="4419587" cy="3203447"/>
            <wp:effectExtent l="0" t="0" r="0" b="0"/>
            <wp:wrapNone/>
            <wp:docPr id="1" name="image10.jpeg"/>
            <wp:cNvGraphicFramePr>
              <a:graphicFrameLocks noChangeAspect="1"/>
            </wp:cNvGraphicFramePr>
            <a:graphic>
              <a:graphicData uri="http://schemas.openxmlformats.org/drawingml/2006/picture">
                <pic:pic>
                  <pic:nvPicPr>
                    <pic:cNvPr id="2" name="image10.jpeg"/>
                    <pic:cNvPicPr/>
                  </pic:nvPicPr>
                  <pic:blipFill>
                    <a:blip r:embed="rId26" cstate="print"/>
                    <a:stretch>
                      <a:fillRect/>
                    </a:stretch>
                  </pic:blipFill>
                  <pic:spPr>
                    <a:xfrm>
                      <a:off x="0" y="0"/>
                      <a:ext cx="4419587" cy="3203447"/>
                    </a:xfrm>
                    <a:prstGeom prst="rect">
                      <a:avLst/>
                    </a:prstGeom>
                  </pic:spPr>
                </pic:pic>
              </a:graphicData>
            </a:graphic>
          </wp:anchor>
        </w:drawing>
      </w:r>
      <w:r>
        <w:rPr>
          <w:b/>
          <w:color w:val="0076BF"/>
          <w:sz w:val="20"/>
        </w:rPr>
        <w:t>SECTION 7 “CONCERTED</w:t>
      </w:r>
    </w:p>
    <w:p>
      <w:pPr>
        <w:spacing w:before="50"/>
        <w:ind w:left="120" w:right="0" w:firstLine="0"/>
        <w:jc w:val="left"/>
        <w:rPr>
          <w:i/>
          <w:sz w:val="20"/>
        </w:rPr>
      </w:pPr>
      <w:r>
        <w:rPr/>
        <w:pict>
          <v:shape style="position:absolute;margin-left:42pt;margin-top:19.879885pt;width:168pt;height:.1pt;mso-position-horizontal-relative:page;mso-position-vertical-relative:paragraph;z-index:-251633664;mso-wrap-distance-left:0;mso-wrap-distance-right:0" coordorigin="840,398" coordsize="3360,0" path="m840,398l4200,398e" filled="false" stroked="true" strokeweight="2pt" strokecolor="#231f20">
            <v:path arrowok="t"/>
            <v:stroke dashstyle="solid"/>
            <w10:wrap type="topAndBottom"/>
          </v:shape>
        </w:pict>
      </w:r>
      <w:r>
        <w:rPr>
          <w:b/>
          <w:color w:val="0076BF"/>
          <w:sz w:val="20"/>
        </w:rPr>
        <w:t>ACTIvITy”, </w:t>
      </w:r>
      <w:r>
        <w:rPr>
          <w:i/>
          <w:color w:val="0076BF"/>
          <w:sz w:val="20"/>
        </w:rPr>
        <w:t>continued</w:t>
      </w:r>
    </w:p>
    <w:p>
      <w:pPr>
        <w:pStyle w:val="BodyText"/>
        <w:spacing w:before="11"/>
        <w:rPr>
          <w:i/>
          <w:sz w:val="32"/>
        </w:rPr>
      </w:pPr>
    </w:p>
    <w:p>
      <w:pPr>
        <w:pStyle w:val="BodyText"/>
        <w:spacing w:line="278" w:lineRule="auto"/>
        <w:ind w:left="120" w:right="7497"/>
        <w:jc w:val="both"/>
        <w:rPr>
          <w:sz w:val="12"/>
        </w:rPr>
      </w:pPr>
      <w:r>
        <w:rPr>
          <w:color w:val="231F20"/>
        </w:rPr>
        <w:t>so as to meet the second requirement to merit protection under Section 7 of the NLRA.</w:t>
      </w:r>
      <w:r>
        <w:rPr>
          <w:color w:val="231F20"/>
          <w:position w:val="7"/>
          <w:sz w:val="12"/>
        </w:rPr>
        <w:t>8</w:t>
      </w:r>
    </w:p>
    <w:p>
      <w:pPr>
        <w:pStyle w:val="BodyText"/>
        <w:spacing w:line="278" w:lineRule="auto"/>
        <w:ind w:left="119" w:right="7499" w:firstLine="180"/>
        <w:jc w:val="both"/>
      </w:pPr>
      <w:r>
        <w:rPr>
          <w:color w:val="231F20"/>
        </w:rPr>
        <w:t>As</w:t>
      </w:r>
      <w:r>
        <w:rPr>
          <w:color w:val="231F20"/>
          <w:spacing w:val="-16"/>
        </w:rPr>
        <w:t> </w:t>
      </w:r>
      <w:r>
        <w:rPr>
          <w:color w:val="231F20"/>
        </w:rPr>
        <w:t>part</w:t>
      </w:r>
      <w:r>
        <w:rPr>
          <w:color w:val="231F20"/>
          <w:spacing w:val="-16"/>
        </w:rPr>
        <w:t> </w:t>
      </w:r>
      <w:r>
        <w:rPr>
          <w:color w:val="231F20"/>
        </w:rPr>
        <w:t>of</w:t>
      </w:r>
      <w:r>
        <w:rPr>
          <w:color w:val="231F20"/>
          <w:spacing w:val="-15"/>
        </w:rPr>
        <w:t> </w:t>
      </w:r>
      <w:r>
        <w:rPr>
          <w:color w:val="231F20"/>
        </w:rPr>
        <w:t>a</w:t>
      </w:r>
      <w:r>
        <w:rPr>
          <w:color w:val="231F20"/>
          <w:spacing w:val="-16"/>
        </w:rPr>
        <w:t> </w:t>
      </w:r>
      <w:r>
        <w:rPr>
          <w:color w:val="231F20"/>
        </w:rPr>
        <w:t>lengthy</w:t>
      </w:r>
      <w:r>
        <w:rPr>
          <w:color w:val="231F20"/>
          <w:spacing w:val="-16"/>
        </w:rPr>
        <w:t> </w:t>
      </w:r>
      <w:r>
        <w:rPr>
          <w:color w:val="231F20"/>
        </w:rPr>
        <w:t>dissent,</w:t>
      </w:r>
      <w:r>
        <w:rPr>
          <w:color w:val="231F20"/>
          <w:spacing w:val="-15"/>
        </w:rPr>
        <w:t> </w:t>
      </w:r>
      <w:r>
        <w:rPr>
          <w:color w:val="231F20"/>
        </w:rPr>
        <w:t>Member McFerran</w:t>
      </w:r>
      <w:r>
        <w:rPr>
          <w:color w:val="231F20"/>
          <w:spacing w:val="-1"/>
        </w:rPr>
        <w:t> </w:t>
      </w:r>
      <w:r>
        <w:rPr>
          <w:color w:val="231F20"/>
        </w:rPr>
        <w:t>wrote:</w:t>
      </w:r>
    </w:p>
    <w:p>
      <w:pPr>
        <w:spacing w:line="285" w:lineRule="auto" w:before="94"/>
        <w:ind w:left="359" w:right="7726" w:hanging="20"/>
        <w:jc w:val="both"/>
        <w:rPr>
          <w:sz w:val="11"/>
        </w:rPr>
      </w:pPr>
      <w:r>
        <w:rPr/>
        <w:pict>
          <v:group style="position:absolute;margin-left:222pt;margin-top:135.310699pt;width:348pt;height:192pt;mso-position-horizontal-relative:page;mso-position-vertical-relative:paragraph;z-index:251695104" coordorigin="4440,2706" coordsize="6960,3840">
            <v:shape style="position:absolute;left:4450;top:2716;width:6940;height:3820" type="#_x0000_t75" stroked="false">
              <v:imagedata r:id="rId27" o:title=""/>
            </v:shape>
            <v:shape style="position:absolute;left:4450;top:2716;width:6940;height:3820" type="#_x0000_t202" filled="false" stroked="true" strokeweight="1pt" strokecolor="#000000">
              <v:textbox inset="0,0,0,0">
                <w:txbxContent>
                  <w:p>
                    <w:pPr>
                      <w:spacing w:line="240" w:lineRule="auto" w:before="5"/>
                      <w:rPr>
                        <w:sz w:val="22"/>
                      </w:rPr>
                    </w:pPr>
                  </w:p>
                  <w:p>
                    <w:pPr>
                      <w:spacing w:before="0"/>
                      <w:ind w:left="1673" w:right="1673" w:firstLine="0"/>
                      <w:jc w:val="center"/>
                      <w:rPr>
                        <w:b/>
                        <w:sz w:val="24"/>
                      </w:rPr>
                    </w:pPr>
                    <w:r>
                      <w:rPr>
                        <w:b/>
                        <w:color w:val="FFF200"/>
                        <w:sz w:val="24"/>
                      </w:rPr>
                      <w:t>MAkE PLANS TO ATTEND THE</w:t>
                    </w:r>
                  </w:p>
                  <w:p>
                    <w:pPr>
                      <w:spacing w:line="218" w:lineRule="auto" w:before="207"/>
                      <w:ind w:left="806" w:right="787" w:firstLine="1248"/>
                      <w:jc w:val="left"/>
                      <w:rPr>
                        <w:b/>
                        <w:sz w:val="48"/>
                      </w:rPr>
                    </w:pPr>
                    <w:r>
                      <w:rPr>
                        <w:b/>
                        <w:color w:val="FFFFFF"/>
                        <w:sz w:val="48"/>
                      </w:rPr>
                      <w:t>2019 Annual Florida Bar Convention</w:t>
                    </w:r>
                  </w:p>
                  <w:p>
                    <w:pPr>
                      <w:spacing w:before="123"/>
                      <w:ind w:left="1673" w:right="1673" w:firstLine="0"/>
                      <w:jc w:val="center"/>
                      <w:rPr>
                        <w:rFonts w:ascii="Verdana"/>
                        <w:b/>
                        <w:sz w:val="28"/>
                      </w:rPr>
                    </w:pPr>
                    <w:r>
                      <w:rPr>
                        <w:rFonts w:ascii="Verdana"/>
                        <w:b/>
                        <w:color w:val="FFFFFF"/>
                        <w:w w:val="95"/>
                        <w:sz w:val="28"/>
                      </w:rPr>
                      <w:t>June 26 -</w:t>
                    </w:r>
                    <w:r>
                      <w:rPr>
                        <w:rFonts w:ascii="Verdana"/>
                        <w:b/>
                        <w:color w:val="FFFFFF"/>
                        <w:spacing w:val="-59"/>
                        <w:w w:val="95"/>
                        <w:sz w:val="28"/>
                      </w:rPr>
                      <w:t> </w:t>
                    </w:r>
                    <w:r>
                      <w:rPr>
                        <w:rFonts w:ascii="Verdana"/>
                        <w:b/>
                        <w:color w:val="FFFFFF"/>
                        <w:w w:val="95"/>
                        <w:sz w:val="28"/>
                      </w:rPr>
                      <w:t>29</w:t>
                    </w:r>
                  </w:p>
                  <w:p>
                    <w:pPr>
                      <w:spacing w:line="268" w:lineRule="auto" w:before="40"/>
                      <w:ind w:left="1673" w:right="1671" w:firstLine="0"/>
                      <w:jc w:val="center"/>
                      <w:rPr>
                        <w:rFonts w:ascii="Verdana"/>
                        <w:b/>
                        <w:sz w:val="28"/>
                      </w:rPr>
                    </w:pPr>
                    <w:r>
                      <w:rPr>
                        <w:rFonts w:ascii="Verdana"/>
                        <w:b/>
                        <w:color w:val="FFFFFF"/>
                        <w:w w:val="90"/>
                        <w:sz w:val="28"/>
                      </w:rPr>
                      <w:t>Boca</w:t>
                    </w:r>
                    <w:r>
                      <w:rPr>
                        <w:rFonts w:ascii="Verdana"/>
                        <w:b/>
                        <w:color w:val="FFFFFF"/>
                        <w:spacing w:val="-46"/>
                        <w:w w:val="90"/>
                        <w:sz w:val="28"/>
                      </w:rPr>
                      <w:t> </w:t>
                    </w:r>
                    <w:r>
                      <w:rPr>
                        <w:rFonts w:ascii="Verdana"/>
                        <w:b/>
                        <w:color w:val="FFFFFF"/>
                        <w:w w:val="90"/>
                        <w:sz w:val="28"/>
                      </w:rPr>
                      <w:t>Raton</w:t>
                    </w:r>
                    <w:r>
                      <w:rPr>
                        <w:rFonts w:ascii="Verdana"/>
                        <w:b/>
                        <w:color w:val="FFFFFF"/>
                        <w:spacing w:val="-46"/>
                        <w:w w:val="90"/>
                        <w:sz w:val="28"/>
                      </w:rPr>
                      <w:t> </w:t>
                    </w:r>
                    <w:r>
                      <w:rPr>
                        <w:rFonts w:ascii="Verdana"/>
                        <w:b/>
                        <w:color w:val="FFFFFF"/>
                        <w:w w:val="90"/>
                        <w:sz w:val="28"/>
                      </w:rPr>
                      <w:t>Resort</w:t>
                    </w:r>
                    <w:r>
                      <w:rPr>
                        <w:rFonts w:ascii="Verdana"/>
                        <w:b/>
                        <w:color w:val="FFFFFF"/>
                        <w:spacing w:val="-46"/>
                        <w:w w:val="90"/>
                        <w:sz w:val="28"/>
                      </w:rPr>
                      <w:t> </w:t>
                    </w:r>
                    <w:r>
                      <w:rPr>
                        <w:rFonts w:ascii="Verdana"/>
                        <w:b/>
                        <w:color w:val="FFFFFF"/>
                        <w:w w:val="90"/>
                        <w:sz w:val="28"/>
                      </w:rPr>
                      <w:t>&amp;</w:t>
                    </w:r>
                    <w:r>
                      <w:rPr>
                        <w:rFonts w:ascii="Verdana"/>
                        <w:b/>
                        <w:color w:val="FFFFFF"/>
                        <w:spacing w:val="-45"/>
                        <w:w w:val="90"/>
                        <w:sz w:val="28"/>
                      </w:rPr>
                      <w:t> </w:t>
                    </w:r>
                    <w:r>
                      <w:rPr>
                        <w:rFonts w:ascii="Verdana"/>
                        <w:b/>
                        <w:color w:val="FFFFFF"/>
                        <w:spacing w:val="-4"/>
                        <w:w w:val="90"/>
                        <w:sz w:val="28"/>
                      </w:rPr>
                      <w:t>Club </w:t>
                    </w:r>
                    <w:r>
                      <w:rPr>
                        <w:rFonts w:ascii="Verdana"/>
                        <w:b/>
                        <w:color w:val="FFFFFF"/>
                        <w:w w:val="95"/>
                        <w:sz w:val="28"/>
                      </w:rPr>
                      <w:t>Boca Raton,</w:t>
                    </w:r>
                    <w:r>
                      <w:rPr>
                        <w:rFonts w:ascii="Verdana"/>
                        <w:b/>
                        <w:color w:val="FFFFFF"/>
                        <w:spacing w:val="-66"/>
                        <w:w w:val="95"/>
                        <w:sz w:val="28"/>
                      </w:rPr>
                      <w:t> </w:t>
                    </w:r>
                    <w:r>
                      <w:rPr>
                        <w:rFonts w:ascii="Verdana"/>
                        <w:b/>
                        <w:color w:val="FFFFFF"/>
                        <w:w w:val="95"/>
                        <w:sz w:val="28"/>
                      </w:rPr>
                      <w:t>FL</w:t>
                    </w:r>
                  </w:p>
                  <w:p>
                    <w:pPr>
                      <w:spacing w:before="194"/>
                      <w:ind w:left="1092" w:right="1092" w:firstLine="0"/>
                      <w:jc w:val="center"/>
                      <w:rPr>
                        <w:b/>
                        <w:i/>
                        <w:sz w:val="24"/>
                      </w:rPr>
                    </w:pPr>
                    <w:hyperlink r:id="rId28">
                      <w:r>
                        <w:rPr>
                          <w:b/>
                          <w:i/>
                          <w:color w:val="FFF200"/>
                          <w:sz w:val="24"/>
                        </w:rPr>
                        <w:t>Visit www.floridabar.org for more details.</w:t>
                      </w:r>
                    </w:hyperlink>
                  </w:p>
                </w:txbxContent>
              </v:textbox>
              <v:stroke dashstyle="solid"/>
              <w10:wrap type="none"/>
            </v:shape>
            <w10:wrap type="none"/>
          </v:group>
        </w:pict>
      </w:r>
      <w:r>
        <w:rPr>
          <w:color w:val="231F20"/>
          <w:spacing w:val="9"/>
          <w:sz w:val="18"/>
        </w:rPr>
        <w:t>[L]ongstanding </w:t>
      </w:r>
      <w:r>
        <w:rPr>
          <w:color w:val="231F20"/>
          <w:spacing w:val="8"/>
          <w:sz w:val="18"/>
        </w:rPr>
        <w:t>Board </w:t>
      </w:r>
      <w:r>
        <w:rPr>
          <w:color w:val="231F20"/>
          <w:spacing w:val="6"/>
          <w:sz w:val="18"/>
        </w:rPr>
        <w:t>and </w:t>
      </w:r>
      <w:r>
        <w:rPr>
          <w:color w:val="231F20"/>
          <w:spacing w:val="10"/>
          <w:sz w:val="18"/>
        </w:rPr>
        <w:t>court </w:t>
      </w:r>
      <w:r>
        <w:rPr>
          <w:color w:val="231F20"/>
          <w:spacing w:val="4"/>
          <w:sz w:val="18"/>
        </w:rPr>
        <w:t>precedent compels </w:t>
      </w:r>
      <w:r>
        <w:rPr>
          <w:color w:val="231F20"/>
          <w:sz w:val="18"/>
        </w:rPr>
        <w:t>a </w:t>
      </w:r>
      <w:r>
        <w:rPr>
          <w:color w:val="231F20"/>
          <w:spacing w:val="4"/>
          <w:sz w:val="18"/>
        </w:rPr>
        <w:t>finding </w:t>
      </w:r>
      <w:r>
        <w:rPr>
          <w:color w:val="231F20"/>
          <w:spacing w:val="5"/>
          <w:sz w:val="18"/>
        </w:rPr>
        <w:t>that </w:t>
      </w:r>
      <w:r>
        <w:rPr>
          <w:color w:val="231F20"/>
          <w:sz w:val="18"/>
        </w:rPr>
        <w:t>[the skycap’s] complaint constituted an attempt to initiate a group objec- tion over tips, and that he was thus engaged in concerted activity for the mutual aid and protection of his fel- low skycaps––conduct for which he could not lawfully be fired. Instead, the majority upholds [his] discharge, misreading and overruling (without being</w:t>
      </w:r>
      <w:r>
        <w:rPr>
          <w:color w:val="231F20"/>
          <w:spacing w:val="-20"/>
          <w:sz w:val="18"/>
        </w:rPr>
        <w:t> </w:t>
      </w:r>
      <w:r>
        <w:rPr>
          <w:color w:val="231F20"/>
          <w:sz w:val="18"/>
        </w:rPr>
        <w:t>asked)</w:t>
      </w:r>
      <w:r>
        <w:rPr>
          <w:color w:val="231F20"/>
          <w:spacing w:val="-20"/>
          <w:sz w:val="18"/>
        </w:rPr>
        <w:t> </w:t>
      </w:r>
      <w:r>
        <w:rPr>
          <w:color w:val="231F20"/>
          <w:sz w:val="18"/>
        </w:rPr>
        <w:t>a</w:t>
      </w:r>
      <w:r>
        <w:rPr>
          <w:color w:val="231F20"/>
          <w:spacing w:val="-19"/>
          <w:sz w:val="18"/>
        </w:rPr>
        <w:t> </w:t>
      </w:r>
      <w:r>
        <w:rPr>
          <w:color w:val="231F20"/>
          <w:sz w:val="18"/>
        </w:rPr>
        <w:t>recent</w:t>
      </w:r>
      <w:r>
        <w:rPr>
          <w:color w:val="231F20"/>
          <w:spacing w:val="-20"/>
          <w:sz w:val="18"/>
        </w:rPr>
        <w:t> </w:t>
      </w:r>
      <w:r>
        <w:rPr>
          <w:color w:val="231F20"/>
          <w:sz w:val="18"/>
        </w:rPr>
        <w:t>Board</w:t>
      </w:r>
      <w:r>
        <w:rPr>
          <w:color w:val="231F20"/>
          <w:spacing w:val="-19"/>
          <w:sz w:val="18"/>
        </w:rPr>
        <w:t> </w:t>
      </w:r>
      <w:r>
        <w:rPr>
          <w:color w:val="231F20"/>
          <w:sz w:val="18"/>
        </w:rPr>
        <w:t>decision and imposing sharp new restrictions (unsupported by precedent) on what counts as “concerted” and “mutual </w:t>
      </w:r>
      <w:r>
        <w:rPr>
          <w:color w:val="231F20"/>
          <w:spacing w:val="2"/>
          <w:sz w:val="18"/>
        </w:rPr>
        <w:t>aid </w:t>
      </w:r>
      <w:r>
        <w:rPr>
          <w:color w:val="231F20"/>
          <w:sz w:val="18"/>
        </w:rPr>
        <w:t>or </w:t>
      </w:r>
      <w:r>
        <w:rPr>
          <w:color w:val="231F20"/>
          <w:spacing w:val="3"/>
          <w:sz w:val="18"/>
        </w:rPr>
        <w:t>protection” </w:t>
      </w:r>
      <w:r>
        <w:rPr>
          <w:color w:val="231F20"/>
          <w:spacing w:val="2"/>
          <w:sz w:val="18"/>
        </w:rPr>
        <w:t>for </w:t>
      </w:r>
      <w:r>
        <w:rPr>
          <w:color w:val="231F20"/>
          <w:spacing w:val="3"/>
          <w:sz w:val="18"/>
        </w:rPr>
        <w:t>purposes </w:t>
      </w:r>
      <w:r>
        <w:rPr>
          <w:color w:val="231F20"/>
          <w:spacing w:val="4"/>
          <w:sz w:val="18"/>
        </w:rPr>
        <w:t>of </w:t>
      </w:r>
      <w:r>
        <w:rPr>
          <w:color w:val="231F20"/>
          <w:sz w:val="18"/>
        </w:rPr>
        <w:t>Section</w:t>
      </w:r>
      <w:r>
        <w:rPr>
          <w:color w:val="231F20"/>
          <w:spacing w:val="-1"/>
          <w:sz w:val="18"/>
        </w:rPr>
        <w:t> </w:t>
      </w:r>
      <w:r>
        <w:rPr>
          <w:color w:val="231F20"/>
          <w:sz w:val="18"/>
        </w:rPr>
        <w:t>7.</w:t>
      </w:r>
      <w:r>
        <w:rPr>
          <w:color w:val="231F20"/>
          <w:position w:val="6"/>
          <w:sz w:val="11"/>
        </w:rPr>
        <w:t>9</w:t>
      </w:r>
    </w:p>
    <w:p>
      <w:pPr>
        <w:pStyle w:val="BodyText"/>
        <w:spacing w:before="4"/>
        <w:rPr>
          <w:sz w:val="14"/>
        </w:rPr>
      </w:pPr>
    </w:p>
    <w:p>
      <w:pPr>
        <w:spacing w:after="0"/>
        <w:rPr>
          <w:sz w:val="14"/>
        </w:rPr>
        <w:sectPr>
          <w:headerReference w:type="default" r:id="rId24"/>
          <w:footerReference w:type="default" r:id="rId25"/>
          <w:pgSz w:w="12240" w:h="15840"/>
          <w:pgMar w:header="0" w:footer="558" w:top="0" w:bottom="740" w:left="720" w:right="540"/>
          <w:pgNumType w:start="6"/>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0"/>
        <w:rPr>
          <w:sz w:val="18"/>
        </w:rPr>
      </w:pPr>
    </w:p>
    <w:p>
      <w:pPr>
        <w:pStyle w:val="ListParagraph"/>
        <w:numPr>
          <w:ilvl w:val="2"/>
          <w:numId w:val="1"/>
        </w:numPr>
        <w:tabs>
          <w:tab w:pos="716" w:val="left" w:leader="none"/>
        </w:tabs>
        <w:spacing w:line="240" w:lineRule="auto" w:before="1" w:after="0"/>
        <w:ind w:left="715" w:right="0" w:hanging="197"/>
        <w:jc w:val="left"/>
        <w:rPr>
          <w:sz w:val="16"/>
        </w:rPr>
      </w:pPr>
      <w:r>
        <w:rPr/>
        <w:pict>
          <v:group style="position:absolute;margin-left:42pt;margin-top:-97.270302pt;width:72pt;height:96pt;mso-position-horizontal-relative:page;mso-position-vertical-relative:paragraph;z-index:251685888" coordorigin="840,-1945" coordsize="1440,1920">
            <v:shape style="position:absolute;left:850;top:-1936;width:1420;height:1900" type="#_x0000_t75" stroked="false">
              <v:imagedata r:id="rId29" o:title=""/>
            </v:shape>
            <v:rect style="position:absolute;left:850;top:-1936;width:1420;height:1900" filled="false" stroked="true" strokeweight="1pt" strokecolor="#231f20">
              <v:stroke dashstyle="solid"/>
            </v:rect>
            <w10:wrap type="none"/>
          </v:group>
        </w:pict>
      </w:r>
      <w:r>
        <w:rPr/>
        <w:pict>
          <v:group style="position:absolute;margin-left:221.9254pt;margin-top:9.9297pt;width:348.15pt;height:228pt;mso-position-horizontal-relative:page;mso-position-vertical-relative:paragraph;z-index:251693056" coordorigin="4439,199" coordsize="6963,4560">
            <v:shape style="position:absolute;left:4468;top:228;width:6903;height:4500" coordorigin="4469,229" coordsize="6903,4500" path="m11369,229l4469,229,4471,4729,11371,4729,11369,229xe" filled="true" fillcolor="#004b8d" stroked="false">
              <v:path arrowok="t"/>
              <v:fill type="solid"/>
            </v:shape>
            <v:shape style="position:absolute;left:4468;top:228;width:6903;height:4500" coordorigin="4469,229" coordsize="6903,4500" path="m4469,229l4471,4729,11371,4729,11369,229,4469,229xe" filled="false" stroked="true" strokeweight="3.0pt" strokecolor="#ffc925">
              <v:path arrowok="t"/>
              <v:stroke dashstyle="solid"/>
            </v:shape>
            <v:shape style="position:absolute;left:6979;top:594;width:202;height:329" type="#_x0000_t75" stroked="false">
              <v:imagedata r:id="rId30" o:title=""/>
            </v:shape>
            <v:shape style="position:absolute;left:7265;top:693;width:192;height:230" type="#_x0000_t75" stroked="false">
              <v:imagedata r:id="rId31" o:title=""/>
            </v:shape>
            <v:shape style="position:absolute;left:7547;top:625;width:192;height:298" type="#_x0000_t75" stroked="false">
              <v:imagedata r:id="rId32" o:title=""/>
            </v:shape>
            <v:shape style="position:absolute;left:8106;top:594;width:202;height:329" type="#_x0000_t75" stroked="false">
              <v:imagedata r:id="rId33" o:title=""/>
            </v:shape>
            <v:shape style="position:absolute;left:8392;top:693;width:194;height:230" type="#_x0000_t75" stroked="false">
              <v:imagedata r:id="rId34" o:title=""/>
            </v:shape>
            <v:shape style="position:absolute;left:8674;top:611;width:192;height:312" type="#_x0000_t75" stroked="false">
              <v:imagedata r:id="rId35" o:title=""/>
            </v:shape>
            <v:shape style="position:absolute;left:8974;top:611;width:156;height:312" type="#_x0000_t75" stroked="false">
              <v:imagedata r:id="rId36" o:title=""/>
            </v:shape>
            <v:shape style="position:absolute;left:9256;top:693;width:156;height:230" type="#_x0000_t75" stroked="false">
              <v:imagedata r:id="rId37" o:title=""/>
            </v:shape>
            <v:shape style="position:absolute;left:9297;top:598;width:57;height:57" coordorigin="9297,599" coordsize="57,57" path="m9297,636l9297,650,9304,655,9315,655,9336,655,9346,655,9354,650,9354,636,9354,617,9354,603,9346,599,9336,599,9315,599,9304,599,9297,603,9297,617,9297,636xe" filled="false" stroked="true" strokeweight=".392pt" strokecolor="#ffc925">
              <v:path arrowok="t"/>
              <v:stroke dashstyle="solid"/>
            </v:shape>
            <v:shape style="position:absolute;left:9520;top:693;width:192;height:230" type="#_x0000_t75" stroked="false">
              <v:imagedata r:id="rId38" o:title=""/>
            </v:shape>
            <v:shape style="position:absolute;left:9801;top:611;width:193;height:312" type="#_x0000_t75" stroked="false">
              <v:imagedata r:id="rId39" o:title=""/>
            </v:shape>
            <v:shape style="position:absolute;left:10083;top:693;width:192;height:230" type="#_x0000_t75" stroked="false">
              <v:imagedata r:id="rId40" o:title=""/>
            </v:shape>
            <v:shape style="position:absolute;left:10365;top:611;width:192;height:312" type="#_x0000_t75" stroked="false">
              <v:imagedata r:id="rId41" o:title=""/>
            </v:shape>
            <v:shape style="position:absolute;left:10704;top:790;width:78;height:76" coordorigin="10704,791" coordsize="78,76" path="m10757,866l10766,866,10772,866,10778,859,10782,852,10782,848,10782,840,10782,817,10782,809,10782,805,10778,798,10772,791,10766,791,10757,791,10729,791,10721,791,10714,791,10709,798,10704,805,10704,809,10704,817,10704,840,10704,848,10704,852,10709,859,10714,866,10721,866,10729,866,10757,866xe" filled="false" stroked="true" strokeweight=".392pt" strokecolor="#ffc925">
              <v:path arrowok="t"/>
              <v:stroke dashstyle="solid"/>
            </v:shape>
            <v:shape style="position:absolute;left:6576;top:1234;width:202;height:329" type="#_x0000_t75" stroked="false">
              <v:imagedata r:id="rId42" o:title=""/>
            </v:shape>
            <v:shape style="position:absolute;left:6862;top:1332;width:193;height:230" type="#_x0000_t75" stroked="false">
              <v:imagedata r:id="rId43" o:title=""/>
            </v:shape>
            <v:shape style="position:absolute;left:7144;top:1332;width:192;height:230" type="#_x0000_t75" stroked="false">
              <v:imagedata r:id="rId44" o:title=""/>
            </v:shape>
            <v:shape style="position:absolute;left:7426;top:1332;width:193;height:230" type="#_x0000_t75" stroked="false">
              <v:imagedata r:id="rId45" o:title=""/>
            </v:shape>
            <v:shape style="position:absolute;left:7985;top:1234;width:202;height:329" type="#_x0000_t75" stroked="false">
              <v:imagedata r:id="rId46" o:title=""/>
            </v:shape>
            <v:shape style="position:absolute;left:8267;top:1234;width:202;height:329" type="#_x0000_t75" stroked="false">
              <v:imagedata r:id="rId47" o:title=""/>
            </v:shape>
            <v:shape style="position:absolute;left:8549;top:1234;width:202;height:329" type="#_x0000_t75" stroked="false">
              <v:imagedata r:id="rId42" o:title=""/>
            </v:shape>
            <v:shape style="position:absolute;left:9112;top:1234;width:202;height:329" type="#_x0000_t75" stroked="false">
              <v:imagedata r:id="rId48" o:title=""/>
            </v:shape>
            <v:shape style="position:absolute;left:9399;top:1332;width:192;height:230" type="#_x0000_t75" stroked="false">
              <v:imagedata r:id="rId49" o:title=""/>
            </v:shape>
            <v:shape style="position:absolute;left:9699;top:1251;width:156;height:312" type="#_x0000_t75" stroked="false">
              <v:imagedata r:id="rId50" o:title=""/>
            </v:shape>
            <v:shape style="position:absolute;left:9981;top:1251;width:156;height:312" type="#_x0000_t75" stroked="false">
              <v:imagedata r:id="rId36" o:title=""/>
            </v:shape>
            <v:shape style="position:absolute;left:10244;top:1332;width:193;height:230" type="#_x0000_t75" stroked="false">
              <v:imagedata r:id="rId51" o:title=""/>
            </v:shape>
            <v:shape style="position:absolute;left:10526;top:1332;width:192;height:230" type="#_x0000_t75" stroked="false">
              <v:imagedata r:id="rId52" o:title=""/>
            </v:shape>
            <v:shape style="position:absolute;left:10808;top:1332;width:192;height:230" type="#_x0000_t75" stroked="false">
              <v:imagedata r:id="rId53" o:title=""/>
            </v:shape>
            <v:shape style="position:absolute;left:11147;top:1430;width:78;height:76" coordorigin="11147,1430" coordsize="78,76" path="m11200,1506l11209,1506,11215,1506,11220,1498,11225,1492,11225,1487,11225,1479,11225,1456,11225,1449,11225,1444,11220,1438,11215,1430,11209,1430,11200,1430,11172,1430,11163,1430,11157,1430,11151,1438,11147,1444,11147,1449,11147,1456,11147,1479,11147,1487,11147,1492,11151,1498,11157,1506,11163,1506,11172,1506,11200,1506xe" filled="false" stroked="true" strokeweight=".392pt" strokecolor="#ffc925">
              <v:path arrowok="t"/>
              <v:stroke dashstyle="solid"/>
            </v:shape>
            <v:rect style="position:absolute;left:4801;top:1918;width:6360;height:800" filled="true" fillcolor="#ffffff" stroked="false">
              <v:fill type="solid"/>
            </v:rect>
            <v:shape style="position:absolute;left:4636;top:647;width:1785;height:2282" type="#_x0000_t75" stroked="false">
              <v:imagedata r:id="rId54" o:title=""/>
            </v:shape>
            <v:shape style="position:absolute;left:4809;top:842;width:1428;height:1855" type="#_x0000_t75" stroked="false">
              <v:imagedata r:id="rId55" o:title=""/>
            </v:shape>
            <v:shape style="position:absolute;left:4741;top:3089;width:6389;height:1231" type="#_x0000_t202" filled="false" stroked="false">
              <v:textbox inset="0,0,0,0">
                <w:txbxContent>
                  <w:p>
                    <w:pPr>
                      <w:spacing w:line="235" w:lineRule="auto" w:before="0"/>
                      <w:ind w:left="0" w:right="18" w:firstLine="0"/>
                      <w:jc w:val="both"/>
                      <w:rPr>
                        <w:rFonts w:ascii="Times New Roman"/>
                        <w:sz w:val="22"/>
                      </w:rPr>
                    </w:pPr>
                    <w:r>
                      <w:rPr>
                        <w:rFonts w:ascii="Times New Roman"/>
                        <w:color w:val="FFC925"/>
                        <w:sz w:val="22"/>
                      </w:rPr>
                      <w:t>If you are </w:t>
                    </w:r>
                    <w:r>
                      <w:rPr>
                        <w:rFonts w:ascii="Times New Roman"/>
                        <w:color w:val="FFC925"/>
                        <w:spacing w:val="2"/>
                        <w:sz w:val="22"/>
                      </w:rPr>
                      <w:t>interested </w:t>
                    </w:r>
                    <w:r>
                      <w:rPr>
                        <w:rFonts w:ascii="Times New Roman"/>
                        <w:color w:val="FFC925"/>
                        <w:sz w:val="22"/>
                      </w:rPr>
                      <w:t>in </w:t>
                    </w:r>
                    <w:r>
                      <w:rPr>
                        <w:rFonts w:ascii="Times New Roman"/>
                        <w:color w:val="FFC925"/>
                        <w:spacing w:val="2"/>
                        <w:sz w:val="22"/>
                      </w:rPr>
                      <w:t>submitting </w:t>
                    </w:r>
                    <w:r>
                      <w:rPr>
                        <w:rFonts w:ascii="Times New Roman"/>
                        <w:color w:val="FFC925"/>
                        <w:sz w:val="22"/>
                      </w:rPr>
                      <w:t>an </w:t>
                    </w:r>
                    <w:r>
                      <w:rPr>
                        <w:rFonts w:ascii="Times New Roman"/>
                        <w:color w:val="FFC925"/>
                        <w:spacing w:val="2"/>
                        <w:sz w:val="22"/>
                      </w:rPr>
                      <w:t>article </w:t>
                    </w:r>
                    <w:r>
                      <w:rPr>
                        <w:rFonts w:ascii="Times New Roman"/>
                        <w:color w:val="FFC925"/>
                        <w:sz w:val="22"/>
                      </w:rPr>
                      <w:t>for the </w:t>
                    </w:r>
                    <w:r>
                      <w:rPr>
                        <w:rFonts w:ascii="Times New Roman"/>
                        <w:i/>
                        <w:color w:val="FFC925"/>
                        <w:spacing w:val="2"/>
                        <w:sz w:val="22"/>
                      </w:rPr>
                      <w:t>Checkoff</w:t>
                    </w:r>
                    <w:r>
                      <w:rPr>
                        <w:rFonts w:ascii="Times New Roman"/>
                        <w:color w:val="FFC925"/>
                        <w:spacing w:val="2"/>
                        <w:sz w:val="22"/>
                      </w:rPr>
                      <w:t>, contact </w:t>
                    </w:r>
                    <w:r>
                      <w:rPr>
                        <w:rFonts w:ascii="Times New Roman"/>
                        <w:color w:val="FFC925"/>
                        <w:sz w:val="22"/>
                      </w:rPr>
                      <w:t>Viktoryia Johnson (VJohnson@fordharrison.com). If you are interested </w:t>
                    </w:r>
                    <w:r>
                      <w:rPr>
                        <w:rFonts w:ascii="Times New Roman"/>
                        <w:color w:val="FFC925"/>
                        <w:spacing w:val="2"/>
                        <w:sz w:val="22"/>
                      </w:rPr>
                      <w:t>in </w:t>
                    </w:r>
                    <w:r>
                      <w:rPr>
                        <w:rFonts w:ascii="Times New Roman"/>
                        <w:color w:val="FFC925"/>
                        <w:spacing w:val="4"/>
                        <w:sz w:val="22"/>
                      </w:rPr>
                      <w:t>submitting </w:t>
                    </w:r>
                    <w:r>
                      <w:rPr>
                        <w:rFonts w:ascii="Times New Roman"/>
                        <w:color w:val="FFC925"/>
                        <w:spacing w:val="2"/>
                        <w:sz w:val="22"/>
                      </w:rPr>
                      <w:t>an </w:t>
                    </w:r>
                    <w:r>
                      <w:rPr>
                        <w:rFonts w:ascii="Times New Roman"/>
                        <w:color w:val="FFC925"/>
                        <w:spacing w:val="4"/>
                        <w:sz w:val="22"/>
                      </w:rPr>
                      <w:t>article </w:t>
                    </w:r>
                    <w:r>
                      <w:rPr>
                        <w:rFonts w:ascii="Times New Roman"/>
                        <w:color w:val="FFC925"/>
                        <w:spacing w:val="3"/>
                        <w:sz w:val="22"/>
                      </w:rPr>
                      <w:t>for The </w:t>
                    </w:r>
                    <w:r>
                      <w:rPr>
                        <w:rFonts w:ascii="Times New Roman"/>
                        <w:color w:val="FFC925"/>
                        <w:spacing w:val="4"/>
                        <w:sz w:val="22"/>
                      </w:rPr>
                      <w:t>Florida </w:t>
                    </w:r>
                    <w:r>
                      <w:rPr>
                        <w:rFonts w:ascii="Times New Roman"/>
                        <w:color w:val="FFC925"/>
                        <w:spacing w:val="3"/>
                        <w:sz w:val="22"/>
                      </w:rPr>
                      <w:t>Bar </w:t>
                    </w:r>
                    <w:r>
                      <w:rPr>
                        <w:rFonts w:ascii="Times New Roman"/>
                        <w:i/>
                        <w:color w:val="FFC925"/>
                        <w:spacing w:val="4"/>
                        <w:sz w:val="22"/>
                      </w:rPr>
                      <w:t>Journal</w:t>
                    </w:r>
                    <w:r>
                      <w:rPr>
                        <w:rFonts w:ascii="Times New Roman"/>
                        <w:color w:val="FFC925"/>
                        <w:spacing w:val="4"/>
                        <w:sz w:val="22"/>
                      </w:rPr>
                      <w:t>, contact </w:t>
                    </w:r>
                    <w:r>
                      <w:rPr>
                        <w:rFonts w:ascii="Times New Roman"/>
                        <w:color w:val="FFC925"/>
                        <w:spacing w:val="5"/>
                        <w:sz w:val="22"/>
                      </w:rPr>
                      <w:t>Robert </w:t>
                    </w:r>
                    <w:r>
                      <w:rPr>
                        <w:rFonts w:ascii="Times New Roman"/>
                        <w:color w:val="FFC925"/>
                        <w:sz w:val="22"/>
                      </w:rPr>
                      <w:t>Eschenfelder</w:t>
                    </w:r>
                    <w:r>
                      <w:rPr>
                        <w:rFonts w:ascii="Times New Roman"/>
                        <w:color w:val="FFC925"/>
                        <w:spacing w:val="-43"/>
                        <w:sz w:val="22"/>
                      </w:rPr>
                      <w:t> </w:t>
                    </w:r>
                    <w:r>
                      <w:rPr>
                        <w:rFonts w:ascii="Times New Roman"/>
                        <w:color w:val="FFC925"/>
                        <w:sz w:val="22"/>
                      </w:rPr>
                      <w:t>(</w:t>
                    </w:r>
                    <w:r>
                      <w:rPr>
                        <w:rFonts w:ascii="Times New Roman"/>
                        <w:i/>
                        <w:color w:val="FFC925"/>
                        <w:sz w:val="22"/>
                      </w:rPr>
                      <w:t>rmejd@aol.com</w:t>
                    </w:r>
                    <w:r>
                      <w:rPr>
                        <w:rFonts w:ascii="Times New Roman"/>
                        <w:color w:val="FFC925"/>
                        <w:sz w:val="22"/>
                      </w:rPr>
                      <w:t>).</w:t>
                    </w:r>
                    <w:r>
                      <w:rPr>
                        <w:rFonts w:ascii="Times New Roman"/>
                        <w:color w:val="FFC925"/>
                        <w:spacing w:val="-28"/>
                        <w:sz w:val="22"/>
                      </w:rPr>
                      <w:t> </w:t>
                    </w:r>
                    <w:r>
                      <w:rPr>
                        <w:rFonts w:ascii="Times New Roman"/>
                        <w:color w:val="FFC925"/>
                        <w:sz w:val="22"/>
                      </w:rPr>
                      <w:t>For</w:t>
                    </w:r>
                    <w:r>
                      <w:rPr>
                        <w:rFonts w:ascii="Times New Roman"/>
                        <w:color w:val="FFC925"/>
                        <w:spacing w:val="-42"/>
                        <w:sz w:val="22"/>
                      </w:rPr>
                      <w:t> </w:t>
                    </w:r>
                    <w:r>
                      <w:rPr>
                        <w:rFonts w:ascii="Times New Roman"/>
                        <w:color w:val="FFC925"/>
                        <w:sz w:val="22"/>
                      </w:rPr>
                      <w:t>each</w:t>
                    </w:r>
                    <w:r>
                      <w:rPr>
                        <w:rFonts w:ascii="Times New Roman"/>
                        <w:color w:val="FFC925"/>
                        <w:spacing w:val="-42"/>
                        <w:sz w:val="22"/>
                      </w:rPr>
                      <w:t> </w:t>
                    </w:r>
                    <w:r>
                      <w:rPr>
                        <w:rFonts w:ascii="Times New Roman"/>
                        <w:color w:val="FFC925"/>
                        <w:sz w:val="22"/>
                      </w:rPr>
                      <w:t>published</w:t>
                    </w:r>
                    <w:r>
                      <w:rPr>
                        <w:rFonts w:ascii="Times New Roman"/>
                        <w:color w:val="FFC925"/>
                        <w:spacing w:val="-42"/>
                        <w:sz w:val="22"/>
                      </w:rPr>
                      <w:t> </w:t>
                    </w:r>
                    <w:r>
                      <w:rPr>
                        <w:rFonts w:ascii="Times New Roman"/>
                        <w:color w:val="FFC925"/>
                        <w:sz w:val="22"/>
                      </w:rPr>
                      <w:t>article,</w:t>
                    </w:r>
                    <w:r>
                      <w:rPr>
                        <w:rFonts w:ascii="Times New Roman"/>
                        <w:color w:val="FFC925"/>
                        <w:spacing w:val="-42"/>
                        <w:sz w:val="22"/>
                      </w:rPr>
                      <w:t> </w:t>
                    </w:r>
                    <w:r>
                      <w:rPr>
                        <w:rFonts w:ascii="Times New Roman"/>
                        <w:color w:val="FFC925"/>
                        <w:sz w:val="22"/>
                      </w:rPr>
                      <w:t>you</w:t>
                    </w:r>
                    <w:r>
                      <w:rPr>
                        <w:rFonts w:ascii="Times New Roman"/>
                        <w:color w:val="FFC925"/>
                        <w:spacing w:val="-42"/>
                        <w:sz w:val="22"/>
                      </w:rPr>
                      <w:t> </w:t>
                    </w:r>
                    <w:r>
                      <w:rPr>
                        <w:rFonts w:ascii="Times New Roman"/>
                        <w:color w:val="FFC925"/>
                        <w:sz w:val="22"/>
                      </w:rPr>
                      <w:t>will</w:t>
                    </w:r>
                    <w:r>
                      <w:rPr>
                        <w:rFonts w:ascii="Times New Roman"/>
                        <w:color w:val="FFC925"/>
                        <w:spacing w:val="-42"/>
                        <w:sz w:val="22"/>
                      </w:rPr>
                      <w:t> </w:t>
                    </w:r>
                    <w:r>
                      <w:rPr>
                        <w:rFonts w:ascii="Times New Roman"/>
                        <w:color w:val="FFC925"/>
                        <w:sz w:val="22"/>
                      </w:rPr>
                      <w:t>receive a voucher for $150 toward any L&amp;E Section</w:t>
                    </w:r>
                    <w:r>
                      <w:rPr>
                        <w:rFonts w:ascii="Times New Roman"/>
                        <w:color w:val="FFC925"/>
                        <w:spacing w:val="-38"/>
                        <w:sz w:val="22"/>
                      </w:rPr>
                      <w:t> </w:t>
                    </w:r>
                    <w:r>
                      <w:rPr>
                        <w:rFonts w:ascii="Times New Roman"/>
                        <w:color w:val="FFC925"/>
                        <w:sz w:val="22"/>
                      </w:rPr>
                      <w:t>CLE.</w:t>
                    </w:r>
                  </w:p>
                </w:txbxContent>
              </v:textbox>
              <w10:wrap type="none"/>
            </v:shape>
            <v:shape style="position:absolute;left:6704;top:2041;width:4243;height:551" type="#_x0000_t202" filled="false" stroked="false">
              <v:textbox inset="0,0,0,0">
                <w:txbxContent>
                  <w:p>
                    <w:pPr>
                      <w:spacing w:line="244" w:lineRule="exact" w:before="0"/>
                      <w:ind w:left="-1" w:right="18" w:firstLine="0"/>
                      <w:jc w:val="center"/>
                      <w:rPr>
                        <w:rFonts w:ascii="Times New Roman"/>
                        <w:sz w:val="22"/>
                      </w:rPr>
                    </w:pPr>
                    <w:r>
                      <w:rPr>
                        <w:rFonts w:ascii="Times New Roman"/>
                        <w:color w:val="004B8D"/>
                        <w:w w:val="110"/>
                        <w:sz w:val="22"/>
                      </w:rPr>
                      <w:t>. . . by writing an article for the </w:t>
                    </w:r>
                    <w:r>
                      <w:rPr>
                        <w:rFonts w:ascii="Times New Roman"/>
                        <w:i/>
                        <w:color w:val="004B8D"/>
                        <w:w w:val="110"/>
                        <w:sz w:val="22"/>
                      </w:rPr>
                      <w:t>Checkoff</w:t>
                    </w:r>
                    <w:r>
                      <w:rPr>
                        <w:rFonts w:ascii="Times New Roman"/>
                        <w:i/>
                        <w:color w:val="004B8D"/>
                        <w:spacing w:val="9"/>
                        <w:w w:val="110"/>
                        <w:sz w:val="22"/>
                      </w:rPr>
                      <w:t> </w:t>
                    </w:r>
                    <w:r>
                      <w:rPr>
                        <w:rFonts w:ascii="Times New Roman"/>
                        <w:color w:val="004B8D"/>
                        <w:w w:val="110"/>
                        <w:sz w:val="22"/>
                      </w:rPr>
                      <w:t>or</w:t>
                    </w:r>
                  </w:p>
                  <w:p>
                    <w:pPr>
                      <w:spacing w:before="54"/>
                      <w:ind w:left="18" w:right="18" w:firstLine="0"/>
                      <w:jc w:val="center"/>
                      <w:rPr>
                        <w:rFonts w:ascii="Times New Roman"/>
                        <w:sz w:val="22"/>
                      </w:rPr>
                    </w:pPr>
                    <w:r>
                      <w:rPr>
                        <w:rFonts w:ascii="Times New Roman"/>
                        <w:color w:val="004B8D"/>
                        <w:w w:val="110"/>
                        <w:sz w:val="22"/>
                      </w:rPr>
                      <w:t>The Florida Bar </w:t>
                    </w:r>
                    <w:r>
                      <w:rPr>
                        <w:rFonts w:ascii="Times New Roman"/>
                        <w:i/>
                        <w:color w:val="004B8D"/>
                        <w:w w:val="110"/>
                        <w:sz w:val="22"/>
                      </w:rPr>
                      <w:t>Journal</w:t>
                    </w:r>
                    <w:r>
                      <w:rPr>
                        <w:rFonts w:ascii="Times New Roman"/>
                        <w:color w:val="004B8D"/>
                        <w:w w:val="110"/>
                        <w:sz w:val="22"/>
                      </w:rPr>
                      <w:t>.</w:t>
                    </w:r>
                  </w:p>
                </w:txbxContent>
              </v:textbox>
              <w10:wrap type="none"/>
            </v:shape>
            <v:shape style="position:absolute;left:9072;top:1219;width:2275;height:438" type="#_x0000_t202" filled="false" stroked="false">
              <v:textbox inset="0,0,0,0">
                <w:txbxContent>
                  <w:p>
                    <w:pPr>
                      <w:spacing w:line="426" w:lineRule="exact" w:before="0"/>
                      <w:ind w:left="0" w:right="0" w:firstLine="0"/>
                      <w:jc w:val="left"/>
                      <w:rPr>
                        <w:sz w:val="41"/>
                      </w:rPr>
                    </w:pPr>
                    <w:r>
                      <w:rPr>
                        <w:color w:val="FFC925"/>
                        <w:w w:val="160"/>
                        <w:sz w:val="41"/>
                      </w:rPr>
                      <w:t>Dollars.</w:t>
                    </w:r>
                  </w:p>
                </w:txbxContent>
              </v:textbox>
              <w10:wrap type="none"/>
            </v:shape>
            <v:shape style="position:absolute;left:7945;top:1219;width:866;height:438" type="#_x0000_t202" filled="false" stroked="false">
              <v:textbox inset="0,0,0,0">
                <w:txbxContent>
                  <w:p>
                    <w:pPr>
                      <w:spacing w:line="426" w:lineRule="exact" w:before="0"/>
                      <w:ind w:left="0" w:right="0" w:firstLine="0"/>
                      <w:jc w:val="left"/>
                      <w:rPr>
                        <w:sz w:val="41"/>
                      </w:rPr>
                    </w:pPr>
                    <w:r>
                      <w:rPr>
                        <w:color w:val="FFC925"/>
                        <w:w w:val="105"/>
                        <w:sz w:val="41"/>
                      </w:rPr>
                      <w:t>CLE</w:t>
                    </w:r>
                  </w:p>
                </w:txbxContent>
              </v:textbox>
              <w10:wrap type="none"/>
            </v:shape>
            <v:shape style="position:absolute;left:6536;top:1219;width:1148;height:438" type="#_x0000_t202" filled="false" stroked="false">
              <v:textbox inset="0,0,0,0">
                <w:txbxContent>
                  <w:p>
                    <w:pPr>
                      <w:spacing w:line="426" w:lineRule="exact" w:before="0"/>
                      <w:ind w:left="0" w:right="0" w:firstLine="0"/>
                      <w:jc w:val="left"/>
                      <w:rPr>
                        <w:sz w:val="41"/>
                      </w:rPr>
                    </w:pPr>
                    <w:r>
                      <w:rPr>
                        <w:color w:val="FFC925"/>
                        <w:w w:val="130"/>
                        <w:sz w:val="41"/>
                      </w:rPr>
                      <w:t>Earn</w:t>
                    </w:r>
                  </w:p>
                </w:txbxContent>
              </v:textbox>
              <w10:wrap type="none"/>
            </v:shape>
            <v:shape style="position:absolute;left:6938;top:580;width:3966;height:438" type="#_x0000_t202" filled="false" stroked="false">
              <v:textbox inset="0,0,0,0">
                <w:txbxContent>
                  <w:p>
                    <w:pPr>
                      <w:tabs>
                        <w:tab w:pos="1127" w:val="left" w:leader="none"/>
                      </w:tabs>
                      <w:spacing w:line="426" w:lineRule="exact" w:before="0"/>
                      <w:ind w:left="0" w:right="0" w:firstLine="0"/>
                      <w:jc w:val="left"/>
                      <w:rPr>
                        <w:sz w:val="41"/>
                      </w:rPr>
                    </w:pPr>
                    <w:r>
                      <w:rPr>
                        <w:color w:val="FFC925"/>
                        <w:w w:val="140"/>
                        <w:sz w:val="41"/>
                      </w:rPr>
                      <w:t>Get</w:t>
                      <w:tab/>
                      <w:t>Published.</w:t>
                    </w:r>
                  </w:p>
                </w:txbxContent>
              </v:textbox>
              <w10:wrap type="none"/>
            </v:shape>
            <w10:wrap type="none"/>
          </v:group>
        </w:pict>
      </w:r>
      <w:r>
        <w:rPr>
          <w:color w:val="231F20"/>
          <w:spacing w:val="-5"/>
          <w:sz w:val="16"/>
        </w:rPr>
        <w:t>BARD</w:t>
      </w:r>
    </w:p>
    <w:p>
      <w:pPr>
        <w:spacing w:line="278" w:lineRule="auto" w:before="94"/>
        <w:ind w:left="519" w:right="7462" w:firstLine="0"/>
        <w:jc w:val="both"/>
        <w:rPr>
          <w:i/>
          <w:sz w:val="20"/>
        </w:rPr>
      </w:pPr>
      <w:r>
        <w:rPr/>
        <w:br w:type="column"/>
      </w:r>
      <w:r>
        <w:rPr>
          <w:b/>
          <w:i/>
          <w:color w:val="231F20"/>
          <w:sz w:val="20"/>
        </w:rPr>
        <w:t>Benjamin </w:t>
      </w:r>
      <w:r>
        <w:rPr>
          <w:b/>
          <w:i/>
          <w:color w:val="231F20"/>
          <w:spacing w:val="-8"/>
          <w:sz w:val="20"/>
        </w:rPr>
        <w:t>W. </w:t>
      </w:r>
      <w:r>
        <w:rPr>
          <w:b/>
          <w:i/>
          <w:color w:val="231F20"/>
          <w:sz w:val="20"/>
        </w:rPr>
        <w:t>Bard </w:t>
      </w:r>
      <w:r>
        <w:rPr>
          <w:i/>
          <w:color w:val="231F20"/>
          <w:spacing w:val="17"/>
          <w:sz w:val="20"/>
        </w:rPr>
        <w:t>is Of </w:t>
      </w:r>
      <w:r>
        <w:rPr>
          <w:i/>
          <w:color w:val="231F20"/>
          <w:spacing w:val="29"/>
          <w:sz w:val="20"/>
        </w:rPr>
        <w:t>Counsel </w:t>
      </w:r>
      <w:r>
        <w:rPr>
          <w:i/>
          <w:color w:val="231F20"/>
          <w:spacing w:val="17"/>
          <w:sz w:val="20"/>
        </w:rPr>
        <w:t>with </w:t>
      </w:r>
      <w:r>
        <w:rPr>
          <w:i/>
          <w:color w:val="231F20"/>
          <w:spacing w:val="20"/>
          <w:sz w:val="20"/>
        </w:rPr>
        <w:t>Thompson, </w:t>
      </w:r>
      <w:r>
        <w:rPr>
          <w:i/>
          <w:color w:val="231F20"/>
          <w:sz w:val="20"/>
        </w:rPr>
        <w:t>Sizemore,</w:t>
      </w:r>
      <w:r>
        <w:rPr>
          <w:i/>
          <w:color w:val="231F20"/>
          <w:spacing w:val="-33"/>
          <w:sz w:val="20"/>
        </w:rPr>
        <w:t> </w:t>
      </w:r>
      <w:r>
        <w:rPr>
          <w:i/>
          <w:color w:val="231F20"/>
          <w:sz w:val="20"/>
        </w:rPr>
        <w:t>Gonzalez </w:t>
      </w:r>
      <w:r>
        <w:rPr>
          <w:i/>
          <w:color w:val="231F20"/>
          <w:sz w:val="20"/>
        </w:rPr>
        <w:t>&amp; Hearing in </w:t>
      </w:r>
      <w:r>
        <w:rPr>
          <w:i/>
          <w:color w:val="231F20"/>
          <w:spacing w:val="-5"/>
          <w:sz w:val="20"/>
        </w:rPr>
        <w:t>Tampa </w:t>
      </w:r>
      <w:r>
        <w:rPr>
          <w:i/>
          <w:color w:val="231F20"/>
          <w:sz w:val="20"/>
        </w:rPr>
        <w:t>and represents both </w:t>
      </w:r>
      <w:r>
        <w:rPr>
          <w:i/>
          <w:color w:val="231F20"/>
          <w:spacing w:val="5"/>
          <w:sz w:val="20"/>
        </w:rPr>
        <w:t>public </w:t>
      </w:r>
      <w:r>
        <w:rPr>
          <w:i/>
          <w:color w:val="231F20"/>
          <w:spacing w:val="4"/>
          <w:sz w:val="20"/>
        </w:rPr>
        <w:t>and </w:t>
      </w:r>
      <w:r>
        <w:rPr>
          <w:i/>
          <w:color w:val="231F20"/>
          <w:spacing w:val="7"/>
          <w:sz w:val="20"/>
        </w:rPr>
        <w:t>private </w:t>
      </w:r>
      <w:r>
        <w:rPr>
          <w:i/>
          <w:color w:val="231F20"/>
          <w:sz w:val="20"/>
        </w:rPr>
        <w:t>sector employers in all</w:t>
      </w:r>
      <w:r>
        <w:rPr>
          <w:i/>
          <w:color w:val="231F20"/>
          <w:spacing w:val="-19"/>
          <w:sz w:val="20"/>
        </w:rPr>
        <w:t> </w:t>
      </w:r>
      <w:r>
        <w:rPr>
          <w:i/>
          <w:color w:val="231F20"/>
          <w:sz w:val="20"/>
        </w:rPr>
        <w:t>matters</w:t>
      </w:r>
      <w:r>
        <w:rPr>
          <w:i/>
          <w:color w:val="231F20"/>
          <w:spacing w:val="-19"/>
          <w:sz w:val="20"/>
        </w:rPr>
        <w:t> </w:t>
      </w:r>
      <w:r>
        <w:rPr>
          <w:i/>
          <w:color w:val="231F20"/>
          <w:sz w:val="20"/>
        </w:rPr>
        <w:t>related</w:t>
      </w:r>
      <w:r>
        <w:rPr>
          <w:i/>
          <w:color w:val="231F20"/>
          <w:spacing w:val="-18"/>
          <w:sz w:val="20"/>
        </w:rPr>
        <w:t> </w:t>
      </w:r>
      <w:r>
        <w:rPr>
          <w:i/>
          <w:color w:val="231F20"/>
          <w:sz w:val="20"/>
        </w:rPr>
        <w:t>to</w:t>
      </w:r>
    </w:p>
    <w:p>
      <w:pPr>
        <w:spacing w:after="0" w:line="278" w:lineRule="auto"/>
        <w:jc w:val="both"/>
        <w:rPr>
          <w:sz w:val="20"/>
        </w:rPr>
        <w:sectPr>
          <w:type w:val="continuous"/>
          <w:pgSz w:w="12240" w:h="15840"/>
          <w:pgMar w:top="500" w:bottom="280" w:left="720" w:right="540"/>
          <w:cols w:num="2" w:equalWidth="0">
            <w:col w:w="1161" w:space="40"/>
            <w:col w:w="9779"/>
          </w:cols>
        </w:sectPr>
      </w:pPr>
    </w:p>
    <w:p>
      <w:pPr>
        <w:spacing w:line="221" w:lineRule="exact" w:before="0"/>
        <w:ind w:left="120" w:right="0" w:firstLine="0"/>
        <w:jc w:val="left"/>
        <w:rPr>
          <w:i/>
          <w:sz w:val="20"/>
        </w:rPr>
      </w:pPr>
      <w:r>
        <w:rPr>
          <w:i/>
          <w:color w:val="231F20"/>
          <w:sz w:val="20"/>
        </w:rPr>
        <w:t>labor and employment law.</w:t>
      </w:r>
    </w:p>
    <w:p>
      <w:pPr>
        <w:pStyle w:val="BodyText"/>
        <w:spacing w:before="5"/>
        <w:rPr>
          <w:i/>
          <w:sz w:val="24"/>
        </w:rPr>
      </w:pPr>
    </w:p>
    <w:p>
      <w:pPr>
        <w:spacing w:before="0"/>
        <w:ind w:left="120" w:right="0" w:firstLine="0"/>
        <w:jc w:val="left"/>
        <w:rPr>
          <w:b/>
          <w:sz w:val="20"/>
        </w:rPr>
      </w:pPr>
      <w:r>
        <w:rPr/>
        <w:pict>
          <v:shape style="position:absolute;margin-left:42pt;margin-top:14.432391pt;width:96.5pt;height:8.950pt;mso-position-horizontal-relative:page;mso-position-vertical-relative:paragraph;z-index:-251632640;mso-wrap-distance-left:0;mso-wrap-distance-right:0" type="#_x0000_t202" filled="false" stroked="false">
            <v:textbox inset="0,0,0,0">
              <w:txbxContent>
                <w:p>
                  <w:pPr>
                    <w:spacing w:line="179" w:lineRule="exact" w:before="0"/>
                    <w:ind w:left="0" w:right="0" w:firstLine="0"/>
                    <w:jc w:val="left"/>
                    <w:rPr>
                      <w:sz w:val="16"/>
                    </w:rPr>
                  </w:pPr>
                  <w:r>
                    <w:rPr>
                      <w:color w:val="231F20"/>
                      <w:position w:val="5"/>
                      <w:sz w:val="9"/>
                    </w:rPr>
                    <w:t>1 </w:t>
                  </w:r>
                  <w:r>
                    <w:rPr>
                      <w:color w:val="1A1A1A"/>
                      <w:sz w:val="16"/>
                    </w:rPr>
                    <w:t>367 N.L.R.B. 68 (2019).</w:t>
                  </w:r>
                </w:p>
              </w:txbxContent>
            </v:textbox>
            <w10:wrap type="topAndBottom"/>
          </v:shape>
        </w:pict>
      </w:r>
      <w:r>
        <w:rPr/>
        <w:pict>
          <v:shape style="position:absolute;margin-left:254.213684pt;margin-top:1.169563pt;width:6.9pt;height:4.850pt;mso-position-horizontal-relative:page;mso-position-vertical-relative:paragraph;z-index:251696128;rotation:356" type="#_x0000_t136" fillcolor="#262223" stroked="f">
            <v:shadow on="t" color="#ffffff"/>
            <o:extrusion v:ext="view" autorotationcenter="t"/>
            <v:textpath style="font-family:&quot;Impact&quot;;font-size:4pt;v-text-kern:t;mso-text-shadow:auto" string="the"/>
            <w10:wrap type="none"/>
          </v:shape>
        </w:pict>
      </w:r>
      <w:r>
        <w:rPr/>
        <w:pict>
          <v:shape style="position:absolute;margin-left:268.36615pt;margin-top:-.825161pt;width:21.95pt;height:1.35pt;mso-position-horizontal-relative:page;mso-position-vertical-relative:paragraph;z-index:251697152;rotation:356" type="#_x0000_t136" fillcolor="#ffffff" stroked="f">
            <o:extrusion v:ext="view" autorotationcenter="t"/>
            <v:textpath style="font-family:&quot;Arial&quot;;font-size:1pt;v-text-kern:t;mso-text-shadow:auto;font-weight:bold;font-style:italic" string="www.laboremploymentlaw.org "/>
            <w10:wrap type="none"/>
          </v:shape>
        </w:pict>
      </w:r>
      <w:r>
        <w:rPr/>
        <w:pict>
          <v:shape style="position:absolute;margin-left:296.877838pt;margin-top:8.771933pt;width:8.65pt;height:1.25pt;mso-position-horizontal-relative:page;mso-position-vertical-relative:paragraph;z-index:251698176;rotation:356" type="#_x0000_t136" fillcolor="#ffffff" stroked="f">
            <o:extrusion v:ext="view" autorotationcenter="t"/>
            <v:textpath style="font-family:&quot;Verdana&quot;;font-size:1pt;v-text-kern:t;mso-text-shadow:auto;font-weight:bold" string="The Florida Bar"/>
            <w10:wrap type="none"/>
          </v:shape>
        </w:pict>
      </w:r>
      <w:r>
        <w:rPr/>
        <w:pict>
          <v:shape style="position:absolute;margin-left:296.994507pt;margin-top:10.211854pt;width:8.65pt;height:1.25pt;mso-position-horizontal-relative:page;mso-position-vertical-relative:paragraph;z-index:251699200;rotation:356" type="#_x0000_t136" fillcolor="#ffffff" stroked="f">
            <o:extrusion v:ext="view" autorotationcenter="t"/>
            <v:textpath style="font-family:&quot;Verdana&quot;;font-size:1pt;v-text-kern:t;mso-text-shadow:auto;font-weight:bold" string="Vol. LVIII, No. 1"/>
            <w10:wrap type="none"/>
          </v:shape>
        </w:pict>
      </w:r>
      <w:r>
        <w:rPr/>
        <w:pict>
          <v:shape style="position:absolute;margin-left:297.641052pt;margin-top:11.633265pt;width:8.1pt;height:1.25pt;mso-position-horizontal-relative:page;mso-position-vertical-relative:paragraph;z-index:251700224;rotation:356" type="#_x0000_t136" fillcolor="#ffffff" stroked="f">
            <o:extrusion v:ext="view" autorotationcenter="t"/>
            <v:textpath style="font-family:&quot;Verdana&quot;;font-size:1pt;v-text-kern:t;mso-text-shadow:auto;font-weight:bold" string="October 2018"/>
            <w10:wrap type="none"/>
          </v:shape>
        </w:pict>
      </w:r>
      <w:r>
        <w:rPr/>
        <w:pict>
          <v:shape style="position:absolute;margin-left:242.146957pt;margin-top:17.88439pt;width:65.2pt;height:1.25pt;mso-position-horizontal-relative:page;mso-position-vertical-relative:paragraph;z-index:251701248;rotation:356" type="#_x0000_t136" fillcolor="#0076bf" stroked="f">
            <o:extrusion v:ext="view" autorotationcenter="t"/>
            <v:textpath style="font-family:&quot;Calibri&quot;;font-size:1pt;v-text-kern:t;mso-text-shadow:auto" string="A PUBLICATION OF THE FLORIDA BAR LABOR &amp; EMPLOYMENT LAW SEC TION "/>
            <w10:wrap type="none"/>
          </v:shape>
        </w:pict>
      </w:r>
      <w:r>
        <w:rPr/>
        <w:pict>
          <v:shape style="position:absolute;margin-left:266.664063pt;margin-top:19.512188pt;width:31.1pt;height:3pt;mso-position-horizontal-relative:page;mso-position-vertical-relative:paragraph;z-index:251702272;rotation:356" type="#_x0000_t136" fillcolor="#231f20" stroked="f">
            <o:extrusion v:ext="view" autorotationcenter="t"/>
            <v:textpath style="font-family:&quot;Arial Black&quot;;font-size:3pt;v-text-kern:t;mso-text-shadow:auto;font-weight:bold;font-style:italic" string="Kneeling in Protest"/>
            <w10:wrap type="none"/>
          </v:shape>
        </w:pict>
      </w:r>
      <w:r>
        <w:rPr/>
        <w:pict>
          <v:shape style="position:absolute;margin-left:260.450073pt;margin-top:22.849586pt;width:44pt;height:2.9pt;mso-position-horizontal-relative:page;mso-position-vertical-relative:paragraph;z-index:251704320;rotation:356" type="#_x0000_t136" fillcolor="#231f20" stroked="f">
            <o:extrusion v:ext="view" autorotationcenter="t"/>
            <v:textpath style="font-family:&quot;Arial Black&quot;;font-size:2pt;v-text-kern:t;mso-text-shadow:auto" string="The NFL’s National Anthem"/>
            <w10:wrap type="none"/>
          </v:shape>
        </w:pict>
      </w:r>
      <w:r>
        <w:rPr/>
        <w:pict>
          <v:shape style="position:absolute;margin-left:243.047623pt;margin-top:2.173543pt;width:47.55pt;height:13.25pt;mso-position-horizontal-relative:page;mso-position-vertical-relative:paragraph;z-index:251753472;rotation:357" type="#_x0000_t136" fillcolor="#ffffff" stroked="f">
            <v:shadow on="t" color="#231f20"/>
            <o:extrusion v:ext="view" autorotationcenter="t"/>
            <v:textpath style="font-family:&quot;Impact&quot;;font-size:13pt;v-text-kern:t;mso-text-shadow:auto" string="Checkoff"/>
            <w10:wrap type="none"/>
          </v:shape>
        </w:pict>
      </w:r>
      <w:r>
        <w:rPr/>
        <w:pict>
          <v:shape style="position:absolute;margin-left:243.154388pt;margin-top:22.690542pt;width:11.85pt;height:1.7pt;mso-position-horizontal-relative:page;mso-position-vertical-relative:paragraph;z-index:251754496;rotation:357" type="#_x0000_t136" fillcolor="#231f20" stroked="f">
            <o:extrusion v:ext="view" autorotationcenter="t"/>
            <v:textpath style="font-family:&quot;Arial&quot;;font-size:1pt;v-text-kern:t;mso-text-shadow:auto;font-weight:bold" string="IN THIS ISSUE"/>
            <w10:wrap type="none"/>
          </v:shape>
        </w:pict>
      </w:r>
      <w:r>
        <w:rPr>
          <w:b/>
          <w:color w:val="231F20"/>
          <w:sz w:val="20"/>
        </w:rPr>
        <w:t>Endnotes</w:t>
      </w:r>
    </w:p>
    <w:p>
      <w:pPr>
        <w:spacing w:before="47"/>
        <w:ind w:left="120" w:right="0" w:firstLine="0"/>
        <w:jc w:val="left"/>
        <w:rPr>
          <w:sz w:val="16"/>
        </w:rPr>
      </w:pPr>
      <w:r>
        <w:rPr>
          <w:color w:val="231F20"/>
          <w:position w:val="5"/>
          <w:sz w:val="9"/>
        </w:rPr>
        <w:t>2 </w:t>
      </w:r>
      <w:r>
        <w:rPr>
          <w:color w:val="231F20"/>
          <w:sz w:val="16"/>
        </w:rPr>
        <w:t>356 N.L.R.B. 765 (2011).</w:t>
      </w:r>
    </w:p>
    <w:p>
      <w:pPr>
        <w:spacing w:before="61"/>
        <w:ind w:left="120" w:right="0" w:firstLine="0"/>
        <w:jc w:val="left"/>
        <w:rPr>
          <w:sz w:val="16"/>
        </w:rPr>
      </w:pPr>
      <w:r>
        <w:rPr/>
        <w:pict>
          <v:shape style="position:absolute;margin-left:243.237244pt;margin-top:-8.823079pt;width:12.2pt;height:1.1pt;mso-position-horizontal-relative:page;mso-position-vertical-relative:paragraph;z-index:251703296;rotation:356" type="#_x0000_t136" fillcolor="#231f20" stroked="f">
            <o:extrusion v:ext="view" autorotationcenter="t"/>
            <v:textpath style="font-family:&quot;Arial&quot;;font-size:1pt;v-text-kern:t;mso-text-shadow:auto;font-style:italic" string="Section Calendar .............. 2"/>
            <w10:wrap type="none"/>
          </v:shape>
        </w:pict>
      </w:r>
      <w:r>
        <w:rPr/>
        <w:pict>
          <v:shape style="position:absolute;margin-left:243.1185pt;margin-top:-10.46349pt;width:12.2pt;height:1pt;mso-position-horizontal-relative:page;mso-position-vertical-relative:paragraph;z-index:251705344;rotation:356" type="#_x0000_t136" fillcolor="#231f20" stroked="f">
            <o:extrusion v:ext="view" autorotationcenter="t"/>
            <v:textpath style="font-family:&quot;Arial&quot;;font-size:1pt;v-text-kern:t;mso-text-shadow:auto;font-style:italic" string="Chair’s Message............... 2"/>
            <w10:wrap type="none"/>
          </v:shape>
        </w:pict>
      </w:r>
      <w:r>
        <w:rPr/>
        <w:pict>
          <v:shape style="position:absolute;margin-left:243.358719pt;margin-top:-6.963461pt;width:9.15pt;height:1pt;mso-position-horizontal-relative:page;mso-position-vertical-relative:paragraph;z-index:251706368;rotation:356" type="#_x0000_t136" fillcolor="#231f20" stroked="f">
            <o:extrusion v:ext="view" autorotationcenter="t"/>
            <v:textpath style="font-family:&quot;Arial&quot;;font-size:1pt;v-text-kern:t;mso-text-shadow:auto;font-style:italic" string="Enforceability of Jury"/>
            <w10:wrap type="none"/>
          </v:shape>
        </w:pict>
      </w:r>
      <w:r>
        <w:rPr/>
        <w:pict>
          <v:shape style="position:absolute;margin-left:244.179153pt;margin-top:-5.896009pt;width:10.35pt;height:1.1pt;mso-position-horizontal-relative:page;mso-position-vertical-relative:paragraph;z-index:251707392;rotation:356" type="#_x0000_t136" fillcolor="#231f20" stroked="f">
            <o:extrusion v:ext="view" autorotationcenter="t"/>
            <v:textpath style="font-family:&quot;Arial&quot;;font-size:1pt;v-text-kern:t;mso-text-shadow:auto;font-style:italic" string="Waivers in Employment"/>
            <w10:wrap type="none"/>
          </v:shape>
        </w:pict>
      </w:r>
      <w:r>
        <w:rPr/>
        <w:pict>
          <v:shape style="position:absolute;margin-left:258.552368pt;margin-top:-9.573209pt;width:48.25pt;height:2.9pt;mso-position-horizontal-relative:page;mso-position-vertical-relative:paragraph;z-index:251708416;rotation:356" type="#_x0000_t136" fillcolor="#231f20" stroked="f">
            <o:extrusion v:ext="view" autorotationcenter="t"/>
            <v:textpath style="font-family:&quot;Arial Black&quot;;font-size:2pt;v-text-kern:t;mso-text-shadow:auto" string="Policy and Political Activity in"/>
            <w10:wrap type="none"/>
          </v:shape>
        </w:pict>
      </w:r>
      <w:r>
        <w:rPr/>
        <w:pict>
          <v:shape style="position:absolute;margin-left:244.262924pt;margin-top:-4.662085pt;width:11.45pt;height:1pt;mso-position-horizontal-relative:page;mso-position-vertical-relative:paragraph;z-index:251709440;rotation:356" type="#_x0000_t136" fillcolor="#231f20" stroked="f">
            <o:extrusion v:ext="view" autorotationcenter="t"/>
            <v:textpath style="font-family:&quot;Arial&quot;;font-size:1pt;v-text-kern:t;mso-text-shadow:auto;font-style:italic" string="Cases............................. 3"/>
            <w10:wrap type="none"/>
          </v:shape>
        </w:pict>
      </w:r>
      <w:r>
        <w:rPr/>
        <w:pict>
          <v:shape style="position:absolute;margin-left:243.644745pt;margin-top:-2.919106pt;width:11.65pt;height:1pt;mso-position-horizontal-relative:page;mso-position-vertical-relative:paragraph;z-index:251710464;rotation:356" type="#_x0000_t136" fillcolor="#231f20" stroked="f">
            <o:extrusion v:ext="view" autorotationcenter="t"/>
            <v:textpath style="font-family:&quot;Arial&quot;;font-size:1pt;v-text-kern:t;mso-text-shadow:auto;font-style:italic" string="PERC: No Duty to Bargain"/>
            <w10:wrap type="none"/>
          </v:shape>
        </w:pict>
      </w:r>
      <w:r>
        <w:rPr/>
        <w:pict>
          <v:shape style="position:absolute;margin-left:244.470917pt;margin-top:-1.630556pt;width:8.1pt;height:1pt;mso-position-horizontal-relative:page;mso-position-vertical-relative:paragraph;z-index:251711488;rotation:356" type="#_x0000_t136" fillcolor="#231f20" stroked="f">
            <o:extrusion v:ext="view" autorotationcenter="t"/>
            <v:textpath style="font-family:&quot;Arial&quot;;font-size:1pt;v-text-kern:t;mso-text-shadow:auto;font-style:italic" string="Where Employer’s"/>
            <w10:wrap type="none"/>
          </v:shape>
        </w:pict>
      </w:r>
      <w:r>
        <w:rPr/>
        <w:pict>
          <v:shape style="position:absolute;margin-left:244.551956pt;margin-top:-.53152pt;width:11.45pt;height:1pt;mso-position-horizontal-relative:page;mso-position-vertical-relative:paragraph;z-index:251712512;rotation:356" type="#_x0000_t136" fillcolor="#231f20" stroked="f">
            <o:extrusion v:ext="view" autorotationcenter="t"/>
            <v:textpath style="font-family:&quot;Arial&quot;;font-size:1pt;v-text-kern:t;mso-text-shadow:auto;font-style:italic" string="Imposition of Discipline on"/>
            <w10:wrap type="none"/>
          </v:shape>
        </w:pict>
      </w:r>
      <w:r>
        <w:rPr/>
        <w:pict>
          <v:shape style="position:absolute;margin-left:244.637466pt;margin-top:.695788pt;width:11.15pt;height:1pt;mso-position-horizontal-relative:page;mso-position-vertical-relative:paragraph;z-index:251713536;rotation:356" type="#_x0000_t136" fillcolor="#231f20" stroked="f">
            <o:extrusion v:ext="view" autorotationcenter="t"/>
            <v:textpath style="font-family:&quot;Arial&quot;;font-size:1pt;v-text-kern:t;mso-text-shadow:auto;font-style:italic" string="Individual Employee After"/>
            <w10:wrap type="none"/>
          </v:shape>
        </w:pict>
      </w:r>
      <w:r>
        <w:rPr/>
        <w:pict>
          <v:shape style="position:absolute;margin-left:244.725052pt;margin-top:1.982232pt;width:9.15pt;height:1pt;mso-position-horizontal-relative:page;mso-position-vertical-relative:paragraph;z-index:251714560;rotation:356" type="#_x0000_t136" fillcolor="#231f20" stroked="f">
            <o:extrusion v:ext="view" autorotationcenter="t"/>
            <v:textpath style="font-family:&quot;Arial&quot;;font-size:1pt;v-text-kern:t;mso-text-shadow:auto;font-style:italic" string="Union is Certified but"/>
            <w10:wrap type="none"/>
          </v:shape>
        </w:pict>
      </w:r>
      <w:r>
        <w:rPr/>
        <w:pict>
          <v:shape style="position:absolute;margin-left:244.808685pt;margin-top:3.156036pt;width:10.4pt;height:1pt;mso-position-horizontal-relative:page;mso-position-vertical-relative:paragraph;z-index:251715584;rotation:356" type="#_x0000_t136" fillcolor="#231f20" stroked="f">
            <o:extrusion v:ext="view" autorotationcenter="t"/>
            <v:textpath style="font-family:&quot;Arial&quot;;font-size:1pt;v-text-kern:t;mso-text-shadow:auto;font-style:italic" string="Before CBA is Finalized"/>
            <w10:wrap type="none"/>
          </v:shape>
        </w:pict>
      </w:r>
      <w:r>
        <w:rPr/>
        <w:pict>
          <v:shape style="position:absolute;margin-left:271.218872pt;margin-top:-6.294513pt;width:23.35pt;height:2.9pt;mso-position-horizontal-relative:page;mso-position-vertical-relative:paragraph;z-index:251716608;rotation:356" type="#_x0000_t136" fillcolor="#231f20" stroked="f">
            <o:extrusion v:ext="view" autorotationcenter="t"/>
            <v:textpath style="font-family:&quot;Arial Black&quot;;font-size:2pt;v-text-kern:t;mso-text-shadow:auto" string="the Workplace"/>
            <w10:wrap type="none"/>
          </v:shape>
        </w:pict>
      </w:r>
      <w:r>
        <w:rPr/>
        <w:pict>
          <v:shape style="position:absolute;margin-left:271.653107pt;margin-top:-2.062002pt;width:22.95pt;height:1.35pt;mso-position-horizontal-relative:page;mso-position-vertical-relative:paragraph;z-index:251717632;rotation:356" type="#_x0000_t136" fillcolor="#231f20" stroked="f">
            <o:extrusion v:ext="view" autorotationcenter="t"/>
            <v:textpath style="font-family:&quot;Arial&quot;;font-size:1pt;v-text-kern:t;mso-text-shadow:auto;font-weight:bold" string="By Deidra B. Demps, St. Petersburg"/>
            <w10:wrap type="none"/>
          </v:shape>
        </w:pict>
      </w:r>
      <w:r>
        <w:rPr/>
        <w:pict>
          <v:shape style="position:absolute;margin-left:259.289886pt;margin-top:.341765pt;width:49.15pt;height:1.25pt;mso-position-horizontal-relative:page;mso-position-vertical-relative:paragraph;z-index:251718656;rotation:356" type="#_x0000_t136" fillcolor="#231f20" stroked="f">
            <o:extrusion v:ext="view" autorotationcenter="t"/>
            <v:textpath style="font-family:&quot;Arial&quot;;font-size:1pt;v-text-kern:t;mso-text-shadow:auto" string="In August 2016, Colin Kaepernick—then tions regarding social justice in America and"/>
            <w10:wrap type="none"/>
          </v:shape>
        </w:pict>
      </w:r>
      <w:r>
        <w:rPr/>
        <w:pict>
          <v:shape style="position:absolute;margin-left:244.822144pt;margin-top:2.416395pt;width:63.7pt;height:1pt;mso-position-horizontal-relative:page;mso-position-vertical-relative:paragraph;z-index:251719680;rotation:356" type="#_x0000_t136" fillcolor="#231f20" stroked="f">
            <o:extrusion v:ext="view" autorotationcenter="t"/>
            <v:textpath style="font-family:&quot;Arial&quot;;font-size:1pt;v-text-kern:t;mso-text-shadow:auto;font-style:italic" string="Does Not Impact the quarterback for the San Francisco 49ers—first the legality of protesting while employed by a"/>
            <w10:wrap type="none"/>
          </v:shape>
        </w:pict>
      </w:r>
      <w:r>
        <w:rPr/>
        <w:pict>
          <v:shape style="position:absolute;margin-left:244.923248pt;margin-top:3.861147pt;width:63.75pt;height:1pt;mso-position-horizontal-relative:page;mso-position-vertical-relative:paragraph;z-index:251720704;rotation:356" type="#_x0000_t136" fillcolor="#231f20" stroked="f">
            <o:extrusion v:ext="view" autorotationcenter="t"/>
            <v:textpath style="font-family:&quot;Arial&quot;;font-size:1pt;v-text-kern:t;mso-text-shadow:auto;font-style:italic" string="Collective Interests of sat on the bench while the national anthem private organization under a collective bargain-"/>
            <w10:wrap type="none"/>
          </v:shape>
        </w:pict>
      </w:r>
      <w:r>
        <w:rPr/>
        <w:pict>
          <v:shape style="position:absolute;margin-left:245.016479pt;margin-top:5.193685pt;width:63.75pt;height:1pt;mso-position-horizontal-relative:page;mso-position-vertical-relative:paragraph;z-index:251721728;rotation:356" type="#_x0000_t136" fillcolor="#231f20" stroked="f">
            <o:extrusion v:ext="view" autorotationcenter="t"/>
            <v:textpath style="font-family:&quot;Arial&quot;;font-size:1pt;v-text-kern:t;mso-text-shadow:auto;font-style:italic" string="Other Members of the played before kickoff. Later in the season, he ing agreement. Issues of First Amendment"/>
            <w10:wrap type="none"/>
          </v:shape>
        </w:pict>
      </w:r>
      <w:r>
        <w:rPr/>
        <w:pict>
          <v:shape style="position:absolute;margin-left:245.109619pt;margin-top:6.524775pt;width:63.7pt;height:1pt;mso-position-horizontal-relative:page;mso-position-vertical-relative:paragraph;z-index:251722752;rotation:356" type="#_x0000_t136" fillcolor="#231f20" stroked="f">
            <o:extrusion v:ext="view" autorotationcenter="t"/>
            <v:textpath style="font-family:&quot;Arial&quot;;font-size:1pt;v-text-kern:t;mso-text-shadow:auto;font-style:italic" string="Bargaining Unit .............. 4  proceeded to kneel during the singing of the rights, violations of the National Labor Rela-"/>
            <w10:wrap type="none"/>
          </v:shape>
        </w:pict>
      </w:r>
      <w:r>
        <w:rPr/>
        <w:pict>
          <v:shape style="position:absolute;margin-left:244.481735pt;margin-top:8.119399pt;width:64.45pt;height:1pt;mso-position-horizontal-relative:page;mso-position-vertical-relative:paragraph;z-index:251723776;rotation:356" type="#_x0000_t136" fillcolor="#231f20" stroked="f">
            <o:extrusion v:ext="view" autorotationcenter="t"/>
            <v:textpath style="font-family:&quot;Arial&quot;;font-size:1pt;v-text-kern:t;mso-text-shadow:auto;font-style:italic" string="James G. Brown Inducted anthem. These actions, designed to draw at- tions Act (NLRA), and workplace disciplinary"/>
            <w10:wrap type="none"/>
          </v:shape>
        </w:pict>
      </w:r>
      <w:r>
        <w:rPr/>
        <w:pict>
          <v:shape style="position:absolute;margin-left:245.357132pt;margin-top:11.068594pt;width:6.45pt;height:1pt;mso-position-horizontal-relative:page;mso-position-vertical-relative:paragraph;z-index:251724800;rotation:356" type="#_x0000_t136" fillcolor="#231f20" stroked="f">
            <o:extrusion v:ext="view" autorotationcenter="t"/>
            <v:textpath style="font-family:&quot;Arial&quot;;font-size:1pt;v-text-kern:t;mso-text-shadow:auto;font-style:italic" string="into the Section"/>
            <w10:wrap type="none"/>
          </v:shape>
        </w:pict>
      </w:r>
      <w:r>
        <w:rPr/>
        <w:pict>
          <v:shape style="position:absolute;margin-left:258.789551pt;margin-top:9.052421pt;width:50.25pt;height:1.25pt;mso-position-horizontal-relative:page;mso-position-vertical-relative:paragraph;z-index:251725824;rotation:356" type="#_x0000_t136" fillcolor="#231f20" stroked="f">
            <o:extrusion v:ext="view" autorotationcenter="t"/>
            <v:textpath style="font-family:&quot;Arial&quot;;font-size:1pt;v-text-kern:t;mso-text-shadow:auto" string="tention to the problems of police brutality and procedures have come to a head because of"/>
            <w10:wrap type="none"/>
          </v:shape>
        </w:pict>
      </w:r>
      <w:r>
        <w:rPr/>
        <w:pict>
          <v:shape style="position:absolute;margin-left:245.437103pt;margin-top:12.110764pt;width:11.45pt;height:1pt;mso-position-horizontal-relative:page;mso-position-vertical-relative:paragraph;z-index:251726848;rotation:356" type="#_x0000_t136" fillcolor="#231f20" stroked="f">
            <o:extrusion v:ext="view" autorotationcenter="t"/>
            <v:textpath style="font-family:&quot;Arial&quot;;font-size:1pt;v-text-kern:t;mso-text-shadow:auto;font-style:italic" string="Hall of Fame .................... 9"/>
            <w10:wrap type="none"/>
          </v:shape>
        </w:pict>
      </w:r>
      <w:r>
        <w:rPr/>
        <w:pict>
          <v:shape style="position:absolute;margin-left:258.890503pt;margin-top:10.49586pt;width:50.3pt;height:1.25pt;mso-position-horizontal-relative:page;mso-position-vertical-relative:paragraph;z-index:251727872;rotation:356" type="#_x0000_t136" fillcolor="#231f20" stroked="f">
            <o:extrusion v:ext="view" autorotationcenter="t"/>
            <v:textpath style="font-family:&quot;Arial&quot;;font-size:1pt;v-text-kern:t;mso-text-shadow:auto" string="racial injustice in America, triggered a series Kaepernick’s actions and those of other NFL"/>
            <w10:wrap type="none"/>
          </v:shape>
        </w:pict>
      </w:r>
      <w:r>
        <w:rPr/>
        <w:pict>
          <v:shape style="position:absolute;margin-left:244.789627pt;margin-top:12.692363pt;width:54.7pt;height:1pt;mso-position-horizontal-relative:page;mso-position-vertical-relative:paragraph;z-index:251728896;rotation:356" type="#_x0000_t136" fillcolor="#231f20" stroked="f">
            <o:extrusion v:ext="view" autorotationcenter="t"/>
            <v:textpath style="font-family:&quot;Arial&quot;;font-size:1pt;v-text-kern:t;mso-text-shadow:auto;font-style:italic" string="Case Notes..................... 15  of events that have raised significant ques- players across the country."/>
            <w10:wrap type="none"/>
          </v:shape>
        </w:pict>
      </w:r>
      <w:r>
        <w:rPr/>
        <w:pict>
          <v:shape style="position:absolute;margin-left:290.460419pt;margin-top:12.32187pt;width:18.850pt;height:1.25pt;mso-position-horizontal-relative:page;mso-position-vertical-relative:paragraph;z-index:251731968;rotation:356" type="#_x0000_t136" fillcolor="#231f20" stroked="f">
            <o:extrusion v:ext="view" autorotationcenter="t"/>
            <v:textpath style="font-family:&quot;Arial&quot;;font-size:1pt;v-text-kern:t;mso-text-shadow:auto;font-style:italic" string="See “Kneeling in Protest,” page 10"/>
            <w10:wrap type="none"/>
          </v:shape>
        </w:pict>
      </w:r>
      <w:r>
        <w:rPr>
          <w:color w:val="231F20"/>
          <w:position w:val="5"/>
          <w:sz w:val="9"/>
        </w:rPr>
        <w:t>3   </w:t>
      </w:r>
      <w:r>
        <w:rPr>
          <w:color w:val="231F20"/>
          <w:spacing w:val="12"/>
          <w:position w:val="5"/>
          <w:sz w:val="9"/>
        </w:rPr>
        <w:t> </w:t>
      </w:r>
      <w:r>
        <w:rPr>
          <w:color w:val="231F20"/>
          <w:sz w:val="16"/>
        </w:rPr>
        <w:t>268 N.L.R.B. 493 (1984) (</w:t>
      </w:r>
      <w:r>
        <w:rPr>
          <w:i/>
          <w:color w:val="231F20"/>
          <w:sz w:val="16"/>
        </w:rPr>
        <w:t>Meyers I</w:t>
      </w:r>
      <w:r>
        <w:rPr>
          <w:color w:val="231F20"/>
          <w:sz w:val="16"/>
        </w:rPr>
        <w:t>), remand-</w:t>
      </w:r>
    </w:p>
    <w:p>
      <w:pPr>
        <w:spacing w:before="22"/>
        <w:ind w:left="120" w:right="0" w:firstLine="0"/>
        <w:jc w:val="left"/>
        <w:rPr>
          <w:sz w:val="16"/>
        </w:rPr>
      </w:pPr>
      <w:r>
        <w:rPr/>
        <w:pict>
          <v:shape style="position:absolute;margin-left:244.936249pt;margin-top:3.291752pt;width:12.2pt;height:1pt;mso-position-horizontal-relative:page;mso-position-vertical-relative:paragraph;z-index:251729920;rotation:356" type="#_x0000_t136" fillcolor="#231f20" stroked="f">
            <o:extrusion v:ext="view" autorotationcenter="t"/>
            <v:textpath style="font-family:&quot;Arial&quot;;font-size:1pt;v-text-kern:t;mso-text-shadow:auto;font-style:italic" string="CLE................................. 18"/>
            <w10:wrap type="none"/>
          </v:shape>
        </w:pict>
      </w:r>
      <w:r>
        <w:rPr/>
        <w:pict>
          <v:shape style="position:absolute;margin-left:245.054993pt;margin-top:4.988602pt;width:12.2pt;height:1pt;mso-position-horizontal-relative:page;mso-position-vertical-relative:paragraph;z-index:251730944;rotation:356" type="#_x0000_t136" fillcolor="#231f20" stroked="f">
            <o:extrusion v:ext="view" autorotationcenter="t"/>
            <v:textpath style="font-family:&quot;Arial&quot;;font-size:1pt;v-text-kern:t;mso-text-shadow:auto;font-style:italic" string="CLE................................. 19"/>
            <w10:wrap type="none"/>
          </v:shape>
        </w:pict>
      </w:r>
      <w:r>
        <w:rPr/>
        <w:pict>
          <v:shape style="position:absolute;margin-left:267.494324pt;margin-top:4.580813pt;width:32.4pt;height:2.9pt;mso-position-horizontal-relative:page;mso-position-vertical-relative:paragraph;z-index:251732992;rotation:356" type="#_x0000_t136" fillcolor="#231f20" stroked="f">
            <o:extrusion v:ext="view" autorotationcenter="t"/>
            <v:textpath style="font-family:&quot;Arial Black&quot;;font-size:2pt;v-text-kern:t;mso-text-shadow:auto" string="SCOTUS: Waivers of"/>
            <w10:wrap type="none"/>
          </v:shape>
        </w:pict>
      </w:r>
      <w:r>
        <w:rPr/>
        <w:pict>
          <v:shape style="position:absolute;margin-left:267.269806pt;margin-top:7.576291pt;width:33.450pt;height:2.9pt;mso-position-horizontal-relative:page;mso-position-vertical-relative:paragraph;z-index:251734016;rotation:356" type="#_x0000_t136" fillcolor="#231f20" stroked="f">
            <o:extrusion v:ext="view" autorotationcenter="t"/>
            <v:textpath style="font-family:&quot;Arial Black&quot;;font-size:2pt;v-text-kern:t;mso-text-shadow:auto" string="Collective Actions in"/>
            <w10:wrap type="none"/>
          </v:shape>
        </w:pict>
      </w:r>
      <w:r>
        <w:rPr/>
        <w:pict>
          <v:shape style="position:absolute;margin-left:261.701355pt;margin-top:10.578159pt;width:45pt;height:2.9pt;mso-position-horizontal-relative:page;mso-position-vertical-relative:paragraph;z-index:251735040;rotation:356" type="#_x0000_t136" fillcolor="#231f20" stroked="f">
            <o:extrusion v:ext="view" autorotationcenter="t"/>
            <v:textpath style="font-family:&quot;Arial Black&quot;;font-size:2pt;v-text-kern:t;mso-text-shadow:auto" string="Employment Arbitration Are"/>
            <w10:wrap type="none"/>
          </v:shape>
        </w:pict>
      </w:r>
      <w:r>
        <w:rPr/>
        <w:pict>
          <v:shape style="position:absolute;margin-left:245.712418pt;margin-top:9.868953pt;width:11.65pt;height:2pt;mso-position-horizontal-relative:page;mso-position-vertical-relative:paragraph;z-index:251755520;rotation:357" type="#_x0000_t136" fillcolor="#ffffff" stroked="f">
            <o:extrusion v:ext="view" autorotationcenter="t"/>
            <v:textpath style="font-family:&quot;Arial Black&quot;;font-size:2pt;v-text-kern:t;mso-text-shadow:auto" string="REGISTER"/>
            <w10:wrap type="none"/>
          </v:shape>
        </w:pict>
      </w:r>
      <w:r>
        <w:rPr>
          <w:color w:val="231F20"/>
          <w:sz w:val="16"/>
        </w:rPr>
        <w:t>ed sub nom. </w:t>
      </w:r>
      <w:r>
        <w:rPr>
          <w:i/>
          <w:color w:val="231F20"/>
          <w:sz w:val="16"/>
        </w:rPr>
        <w:t>Prill </w:t>
      </w:r>
      <w:r>
        <w:rPr>
          <w:i/>
          <w:color w:val="231F20"/>
          <w:spacing w:val="-6"/>
          <w:sz w:val="16"/>
        </w:rPr>
        <w:t>v.  </w:t>
      </w:r>
      <w:r>
        <w:rPr>
          <w:i/>
          <w:color w:val="231F20"/>
          <w:sz w:val="16"/>
        </w:rPr>
        <w:t>NLRB</w:t>
      </w:r>
      <w:r>
        <w:rPr>
          <w:color w:val="231F20"/>
          <w:sz w:val="16"/>
        </w:rPr>
        <w:t>, 755 </w:t>
      </w:r>
      <w:r>
        <w:rPr>
          <w:color w:val="231F20"/>
          <w:spacing w:val="-5"/>
          <w:sz w:val="16"/>
        </w:rPr>
        <w:t>F.2d  </w:t>
      </w:r>
      <w:r>
        <w:rPr>
          <w:color w:val="231F20"/>
          <w:sz w:val="16"/>
        </w:rPr>
        <w:t>941</w:t>
      </w:r>
      <w:r>
        <w:rPr>
          <w:color w:val="231F20"/>
          <w:spacing w:val="29"/>
          <w:sz w:val="16"/>
        </w:rPr>
        <w:t> </w:t>
      </w:r>
      <w:r>
        <w:rPr>
          <w:color w:val="231F20"/>
          <w:sz w:val="16"/>
        </w:rPr>
        <w:t>(D.C.</w:t>
      </w:r>
    </w:p>
    <w:p>
      <w:pPr>
        <w:spacing w:before="22"/>
        <w:ind w:left="120" w:right="0" w:firstLine="0"/>
        <w:jc w:val="left"/>
        <w:rPr>
          <w:sz w:val="16"/>
        </w:rPr>
      </w:pPr>
      <w:r>
        <w:rPr/>
        <w:pict>
          <v:shape style="position:absolute;margin-left:247.649597pt;margin-top:6.402881pt;width:8.7pt;height:1.5pt;mso-position-horizontal-relative:page;mso-position-vertical-relative:paragraph;z-index:251736064;rotation:356" type="#_x0000_t136" fillcolor="#ffffff" stroked="f">
            <o:extrusion v:ext="view" autorotationcenter="t"/>
            <v:textpath style="font-family:&quot;Arial&quot;;font-size:1pt;v-text-kern:t;mso-text-shadow:auto;font-weight:bold;font-style:italic" string="October 25-26"/>
            <w10:wrap type="none"/>
          </v:shape>
        </w:pict>
      </w:r>
      <w:r>
        <w:rPr/>
        <w:pict>
          <v:shape style="position:absolute;margin-left:274.691193pt;margin-top:3.292388pt;width:19.4pt;height:2.9pt;mso-position-horizontal-relative:page;mso-position-vertical-relative:paragraph;z-index:251737088;rotation:356" type="#_x0000_t136" fillcolor="#231f20" stroked="f">
            <o:extrusion v:ext="view" autorotationcenter="t"/>
            <v:textpath style="font-family:&quot;Arial Black&quot;;font-size:2pt;v-text-kern:t;mso-text-shadow:auto" string="Enforceable"/>
            <w10:wrap type="none"/>
          </v:shape>
        </w:pict>
      </w:r>
      <w:r>
        <w:rPr/>
        <w:pict>
          <v:shape style="position:absolute;margin-left:274.167908pt;margin-top:7.246915pt;width:20.9pt;height:1.35pt;mso-position-horizontal-relative:page;mso-position-vertical-relative:paragraph;z-index:251738112;rotation:356" type="#_x0000_t136" fillcolor="#231f20" stroked="f">
            <o:extrusion v:ext="view" autorotationcenter="t"/>
            <v:textpath style="font-family:&quot;Arial&quot;;font-size:1pt;v-text-kern:t;mso-text-shadow:auto;font-weight:bold" string="By Christopher Shulman, Tampa"/>
            <w10:wrap type="none"/>
          </v:shape>
        </w:pict>
      </w:r>
      <w:r>
        <w:rPr/>
        <w:pict>
          <v:shape style="position:absolute;margin-left:261.545349pt;margin-top:10.069279pt;width:49.15pt;height:1.25pt;mso-position-horizontal-relative:page;mso-position-vertical-relative:paragraph;z-index:251740160;rotation:356" type="#_x0000_t136" fillcolor="#231f20" stroked="f">
            <o:extrusion v:ext="view" autorotationcenter="t"/>
            <v:textpath style="font-family:&quot;Arial&quot;;font-size:1pt;v-text-kern:t;mso-text-shadow:auto" string="In this era of seemingly ubiquitous em- not—contrary to the National Labor Relations"/>
            <w10:wrap type="none"/>
          </v:shape>
        </w:pict>
      </w:r>
      <w:r>
        <w:rPr/>
        <w:pict>
          <v:shape style="position:absolute;margin-left:248.621246pt;margin-top:1.972312pt;width:6.15pt;height:2pt;mso-position-horizontal-relative:page;mso-position-vertical-relative:paragraph;z-index:251756544;rotation:357" type="#_x0000_t136" fillcolor="#ffffff" stroked="f">
            <o:extrusion v:ext="view" autorotationcenter="t"/>
            <v:textpath style="font-family:&quot;Arial Black&quot;;font-size:2pt;v-text-kern:t;mso-text-shadow:auto" string="NOW!"/>
            <w10:wrap type="none"/>
          </v:shape>
        </w:pict>
      </w:r>
      <w:r>
        <w:rPr/>
        <w:pict>
          <v:shape style="position:absolute;margin-left:247.745071pt;margin-top:8.328507pt;width:8.85pt;height:2.450pt;mso-position-horizontal-relative:page;mso-position-vertical-relative:paragraph;z-index:251757568;rotation:357" type="#_x0000_t136" fillcolor="#ffde6c" stroked="f">
            <o:extrusion v:ext="view" autorotationcenter="t"/>
            <v:textpath style="font-family:&quot;Arial Black&quot;;font-size:2pt;v-text-kern:t;mso-text-shadow:auto" string="PELRF"/>
            <w10:wrap type="none"/>
          </v:shape>
        </w:pict>
      </w:r>
      <w:r>
        <w:rPr>
          <w:color w:val="231F20"/>
          <w:spacing w:val="-3"/>
          <w:sz w:val="16"/>
        </w:rPr>
        <w:t>Cir.</w:t>
      </w:r>
      <w:r>
        <w:rPr>
          <w:color w:val="231F20"/>
          <w:spacing w:val="-16"/>
          <w:sz w:val="16"/>
        </w:rPr>
        <w:t> </w:t>
      </w:r>
      <w:r>
        <w:rPr>
          <w:color w:val="231F20"/>
          <w:sz w:val="16"/>
        </w:rPr>
        <w:t>1985),</w:t>
      </w:r>
      <w:r>
        <w:rPr>
          <w:color w:val="231F20"/>
          <w:spacing w:val="-16"/>
          <w:sz w:val="16"/>
        </w:rPr>
        <w:t> </w:t>
      </w:r>
      <w:r>
        <w:rPr>
          <w:color w:val="231F20"/>
          <w:sz w:val="16"/>
        </w:rPr>
        <w:t>cert.</w:t>
      </w:r>
      <w:r>
        <w:rPr>
          <w:color w:val="231F20"/>
          <w:spacing w:val="-16"/>
          <w:sz w:val="16"/>
        </w:rPr>
        <w:t> </w:t>
      </w:r>
      <w:r>
        <w:rPr>
          <w:color w:val="231F20"/>
          <w:sz w:val="16"/>
        </w:rPr>
        <w:t>denied</w:t>
      </w:r>
      <w:r>
        <w:rPr>
          <w:color w:val="231F20"/>
          <w:spacing w:val="-15"/>
          <w:sz w:val="16"/>
        </w:rPr>
        <w:t> </w:t>
      </w:r>
      <w:r>
        <w:rPr>
          <w:color w:val="231F20"/>
          <w:sz w:val="16"/>
        </w:rPr>
        <w:t>474</w:t>
      </w:r>
      <w:r>
        <w:rPr>
          <w:color w:val="231F20"/>
          <w:spacing w:val="-16"/>
          <w:sz w:val="16"/>
        </w:rPr>
        <w:t> </w:t>
      </w:r>
      <w:r>
        <w:rPr>
          <w:color w:val="231F20"/>
          <w:sz w:val="16"/>
        </w:rPr>
        <w:t>U.S.</w:t>
      </w:r>
      <w:r>
        <w:rPr>
          <w:color w:val="231F20"/>
          <w:spacing w:val="-16"/>
          <w:sz w:val="16"/>
        </w:rPr>
        <w:t> </w:t>
      </w:r>
      <w:r>
        <w:rPr>
          <w:color w:val="231F20"/>
          <w:sz w:val="16"/>
        </w:rPr>
        <w:t>948</w:t>
      </w:r>
      <w:r>
        <w:rPr>
          <w:color w:val="231F20"/>
          <w:spacing w:val="-16"/>
          <w:sz w:val="16"/>
        </w:rPr>
        <w:t> </w:t>
      </w:r>
      <w:r>
        <w:rPr>
          <w:color w:val="231F20"/>
          <w:sz w:val="16"/>
        </w:rPr>
        <w:t>(1985),</w:t>
      </w:r>
      <w:r>
        <w:rPr>
          <w:color w:val="231F20"/>
          <w:spacing w:val="-15"/>
          <w:sz w:val="16"/>
        </w:rPr>
        <w:t> </w:t>
      </w:r>
      <w:r>
        <w:rPr>
          <w:color w:val="231F20"/>
          <w:sz w:val="16"/>
        </w:rPr>
        <w:t>and</w:t>
      </w:r>
    </w:p>
    <w:p>
      <w:pPr>
        <w:spacing w:line="268" w:lineRule="auto" w:before="22"/>
        <w:ind w:left="120" w:right="7496" w:firstLine="0"/>
        <w:jc w:val="both"/>
        <w:rPr>
          <w:sz w:val="16"/>
        </w:rPr>
      </w:pPr>
      <w:r>
        <w:rPr/>
        <w:pict>
          <v:shape style="position:absolute;margin-left:247.997498pt;margin-top:1.510883pt;width:8.75pt;height:1.6pt;mso-position-horizontal-relative:page;mso-position-vertical-relative:paragraph;z-index:251739136;rotation:356" type="#_x0000_t136" fillcolor="#ffde6c" stroked="f">
            <o:extrusion v:ext="view" autorotationcenter="t"/>
            <v:textpath style="font-family:&quot;Arial&quot;;font-size:1pt;v-text-kern:t;mso-text-shadow:auto;font-weight:bold" string="44th Annual"/>
            <w10:wrap type="none"/>
          </v:shape>
        </w:pict>
      </w:r>
      <w:r>
        <w:rPr/>
        <w:pict>
          <v:shape style="position:absolute;margin-left:250.134995pt;margin-top:1.59767pt;width:60.65pt;height:1.6pt;mso-position-horizontal-relative:page;mso-position-vertical-relative:paragraph;z-index:251741184;rotation:356" type="#_x0000_t136" fillcolor="#ffde6c" stroked="f">
            <o:extrusion v:ext="view" autorotationcenter="t"/>
            <v:textpath style="font-family:&quot;Arial&quot;;font-size:1pt;v-text-kern:t;mso-text-shadow:auto;font-weight:bold;font-style:italic" string="Public ployment arbitration agreements, the United Board’s decision in D.R. Horton, Inc.2—prohibit"/>
            <w10:wrap type="none"/>
          </v:shape>
        </w:pict>
      </w:r>
      <w:r>
        <w:rPr/>
        <w:pict>
          <v:shape style="position:absolute;margin-left:247.978897pt;margin-top:4.044656pt;width:46.45pt;height:1.6pt;mso-position-horizontal-relative:page;mso-position-vertical-relative:paragraph;z-index:251742208;rotation:356" type="#_x0000_t136" fillcolor="#ffde6c" stroked="f">
            <o:extrusion v:ext="view" autorotationcenter="t"/>
            <v:textpath style="font-family:&quot;Arial&quot;;font-size:0pt;v-text-kern:t;mso-text-shadow:auto;font-weight:bold" string="Employment States Supreme Court has weighed in on the  such waivers.3"/>
            <w10:wrap type="none"/>
          </v:shape>
        </w:pict>
      </w:r>
      <w:r>
        <w:rPr/>
        <w:pict>
          <v:shape style="position:absolute;margin-left:260.798157pt;margin-top:5.411431pt;width:24.4pt;height:1.25pt;mso-position-horizontal-relative:page;mso-position-vertical-relative:paragraph;z-index:251743232;rotation:356" type="#_x0000_t136" fillcolor="#231f20" stroked="f">
            <o:extrusion v:ext="view" autorotationcenter="t"/>
            <v:textpath style="font-family:&quot;Arial&quot;;font-size:1pt;v-text-kern:t;mso-text-shadow:auto" string="validity of waivers of class (or collective) ac-"/>
            <w10:wrap type="none"/>
          </v:shape>
        </w:pict>
      </w:r>
      <w:r>
        <w:rPr/>
        <w:pict>
          <v:shape style="position:absolute;margin-left:246.969925pt;margin-top:6.890834pt;width:38.3pt;height:1.6pt;mso-position-horizontal-relative:page;mso-position-vertical-relative:paragraph;z-index:251744256;rotation:356" type="#_x0000_t136" fillcolor="#ffde6c" stroked="f">
            <o:extrusion v:ext="view" autorotationcenter="t"/>
            <v:textpath style="font-family:&quot;Arial&quot;;font-size:1pt;v-text-kern:t;mso-text-shadow:auto;font-weight:bold;font-style:italic" string="Labor Relations tions contained in such agreements. In Epic"/>
            <w10:wrap type="none"/>
          </v:shape>
        </w:pict>
      </w:r>
      <w:r>
        <w:rPr/>
        <w:pict>
          <v:shape style="position:absolute;margin-left:250.479172pt;margin-top:7.729992pt;width:60.8pt;height:1.6pt;mso-position-horizontal-relative:page;mso-position-vertical-relative:paragraph;z-index:251745280;rotation:356" type="#_x0000_t136" fillcolor="#ffde6c" stroked="f">
            <o:extrusion v:ext="view" autorotationcenter="t"/>
            <v:textpath style="font-family:&quot;Arial&quot;;font-size:1pt;v-text-kern:t;mso-text-shadow:auto;font-weight:bold;font-style:italic" string="Forum Systems Corp. v. Lewis,1 the Court resolved In Epic Systems, the Court consolidated"/>
            <w10:wrap type="none"/>
          </v:shape>
        </w:pict>
      </w:r>
      <w:r>
        <w:rPr/>
        <w:pict>
          <v:shape style="position:absolute;margin-left:261.095734pt;margin-top:9.209728pt;width:50.25pt;height:1.25pt;mso-position-horizontal-relative:page;mso-position-vertical-relative:paragraph;z-index:251746304;rotation:356" type="#_x0000_t136" fillcolor="#231f20" stroked="f">
            <o:extrusion v:ext="view" autorotationcenter="t"/>
            <v:textpath style="font-family:&quot;Arial&quot;;font-size:1pt;v-text-kern:t;mso-text-shadow:auto" string="a conflict among several circuits and found appeals from three circuit cases involving es-"/>
            <w10:wrap type="none"/>
          </v:shape>
        </w:pict>
      </w:r>
      <w:r>
        <w:rPr/>
        <w:pict>
          <v:shape style="position:absolute;margin-left:261.201599pt;margin-top:10.724632pt;width:50.25pt;height:1.25pt;mso-position-horizontal-relative:page;mso-position-vertical-relative:paragraph;z-index:251747328;rotation:356" type="#_x0000_t136" fillcolor="#231f20" stroked="f">
            <o:extrusion v:ext="view" autorotationcenter="t"/>
            <v:textpath style="font-family:&quot;Arial&quot;;font-size:1pt;v-text-kern:t;mso-text-shadow:auto" string="such waivers enforceable, specifically holding sentially the same issue: whether the National"/>
            <w10:wrap type="none"/>
          </v:shape>
        </w:pict>
      </w:r>
      <w:r>
        <w:rPr/>
        <w:pict>
          <v:shape style="position:absolute;margin-left:261.307434pt;margin-top:12.23884pt;width:50.25pt;height:1.25pt;mso-position-horizontal-relative:page;mso-position-vertical-relative:paragraph;z-index:251748352;rotation:356" type="#_x0000_t136" fillcolor="#231f20" stroked="f">
            <o:extrusion v:ext="view" autorotationcenter="t"/>
            <v:textpath style="font-family:&quot;Arial&quot;;font-size:1pt;v-text-kern:t;mso-text-shadow:auto" string="that the National Labor Relations Act’s Sec- Labor Relations Act (NLRA) prohibits class (or"/>
            <w10:wrap type="none"/>
          </v:shape>
        </w:pict>
      </w:r>
      <w:r>
        <w:rPr/>
        <w:pict>
          <v:shape style="position:absolute;margin-left:250.345886pt;margin-top:12.315562pt;width:5.55pt;height:1.6pt;mso-position-horizontal-relative:page;mso-position-vertical-relative:paragraph;z-index:251749376;rotation:356" type="#_x0000_t136" fillcolor="#ffde6c" stroked="f">
            <o:extrusion v:ext="view" autorotationcenter="t"/>
            <v:textpath style="font-family:&quot;Arial&quot;;font-size:1pt;v-text-kern:t;mso-text-shadow:auto;font-weight:bold" string="(2934R)"/>
            <w10:wrap type="none"/>
          </v:shape>
        </w:pict>
      </w:r>
      <w:r>
        <w:rPr/>
        <w:pict>
          <v:shape style="position:absolute;margin-left:249.180374pt;margin-top:15.165837pt;width:36.7pt;height:1.25pt;mso-position-horizontal-relative:page;mso-position-vertical-relative:paragraph;z-index:251750400;rotation:356" type="#_x0000_t136" fillcolor="#ffffff" stroked="f">
            <o:extrusion v:ext="view" autorotationcenter="t"/>
            <v:textpath style="font-family:&quot;Arial&quot;;font-size:1pt;v-text-kern:t;mso-text-shadow:auto;font-style:italic" string="See page 18 for tion 7 “concerted activities” language does"/>
            <w10:wrap type="none"/>
          </v:shape>
        </w:pict>
      </w:r>
      <w:r>
        <w:rPr/>
        <w:pict>
          <v:shape style="position:absolute;margin-left:248.923584pt;margin-top:17.540993pt;width:9.1pt;height:1.25pt;mso-position-horizontal-relative:page;mso-position-vertical-relative:paragraph;z-index:251751424;rotation:356" type="#_x0000_t136" fillcolor="#ffffff" stroked="f">
            <o:extrusion v:ext="view" autorotationcenter="t"/>
            <v:textpath style="font-family:&quot;Arial&quot;;font-size:1pt;v-text-kern:t;mso-text-shadow:auto;font-style:italic" string="more information."/>
            <w10:wrap type="none"/>
          </v:shape>
        </w:pict>
      </w:r>
      <w:r>
        <w:rPr/>
        <w:pict>
          <v:shape style="position:absolute;margin-left:298.072113pt;margin-top:12.574183pt;width:13.55pt;height:1.25pt;mso-position-horizontal-relative:page;mso-position-vertical-relative:paragraph;z-index:251752448;rotation:356" type="#_x0000_t136" fillcolor="#231f20" stroked="f">
            <o:extrusion v:ext="view" autorotationcenter="t"/>
            <v:textpath style="font-family:&quot;Arial&quot;;font-size:1pt;v-text-kern:t;mso-text-shadow:auto;font-style:italic" string="See “SCOTUS,” page 11"/>
            <w10:wrap type="none"/>
          </v:shape>
        </w:pict>
      </w:r>
      <w:r>
        <w:rPr/>
        <w:pict>
          <v:shape style="position:absolute;margin-left:286.683594pt;margin-top:5.37102pt;width:8.65pt;height:1.45pt;mso-position-horizontal-relative:page;mso-position-vertical-relative:paragraph;z-index:251758592;rotation:357" type="#_x0000_t136" fillcolor="#231f20" stroked="f">
            <o:extrusion v:ext="view" autorotationcenter="t"/>
            <v:textpath style="font-family:&quot;Arial&quot;;font-size:1pt;v-text-kern:t;mso-text-shadow:auto;font-weight:bold" string="Background"/>
            <w10:wrap type="none"/>
          </v:shape>
        </w:pict>
      </w:r>
      <w:r>
        <w:rPr>
          <w:i/>
          <w:color w:val="231F20"/>
          <w:sz w:val="16"/>
        </w:rPr>
        <w:t>Meyers</w:t>
      </w:r>
      <w:r>
        <w:rPr>
          <w:i/>
          <w:color w:val="231F20"/>
          <w:spacing w:val="-18"/>
          <w:sz w:val="16"/>
        </w:rPr>
        <w:t> </w:t>
      </w:r>
      <w:r>
        <w:rPr>
          <w:i/>
          <w:color w:val="231F20"/>
          <w:sz w:val="16"/>
        </w:rPr>
        <w:t>Indus.</w:t>
      </w:r>
      <w:r>
        <w:rPr>
          <w:color w:val="231F20"/>
          <w:sz w:val="16"/>
        </w:rPr>
        <w:t>,</w:t>
      </w:r>
      <w:r>
        <w:rPr>
          <w:color w:val="231F20"/>
          <w:spacing w:val="-18"/>
          <w:sz w:val="16"/>
        </w:rPr>
        <w:t> </w:t>
      </w:r>
      <w:r>
        <w:rPr>
          <w:color w:val="231F20"/>
          <w:sz w:val="16"/>
        </w:rPr>
        <w:t>281</w:t>
      </w:r>
      <w:r>
        <w:rPr>
          <w:color w:val="231F20"/>
          <w:spacing w:val="-18"/>
          <w:sz w:val="16"/>
        </w:rPr>
        <w:t> </w:t>
      </w:r>
      <w:r>
        <w:rPr>
          <w:color w:val="231F20"/>
          <w:sz w:val="16"/>
        </w:rPr>
        <w:t>N.L.R.B.</w:t>
      </w:r>
      <w:r>
        <w:rPr>
          <w:color w:val="231F20"/>
          <w:spacing w:val="-18"/>
          <w:sz w:val="16"/>
        </w:rPr>
        <w:t> </w:t>
      </w:r>
      <w:r>
        <w:rPr>
          <w:color w:val="231F20"/>
          <w:sz w:val="16"/>
        </w:rPr>
        <w:t>882</w:t>
      </w:r>
      <w:r>
        <w:rPr>
          <w:color w:val="231F20"/>
          <w:spacing w:val="-18"/>
          <w:sz w:val="16"/>
        </w:rPr>
        <w:t> </w:t>
      </w:r>
      <w:r>
        <w:rPr>
          <w:color w:val="231F20"/>
          <w:sz w:val="16"/>
        </w:rPr>
        <w:t>(1986)</w:t>
      </w:r>
      <w:r>
        <w:rPr>
          <w:color w:val="231F20"/>
          <w:spacing w:val="-18"/>
          <w:sz w:val="16"/>
        </w:rPr>
        <w:t> </w:t>
      </w:r>
      <w:r>
        <w:rPr>
          <w:color w:val="231F20"/>
          <w:sz w:val="16"/>
        </w:rPr>
        <w:t>(</w:t>
      </w:r>
      <w:r>
        <w:rPr>
          <w:i/>
          <w:color w:val="231F20"/>
          <w:sz w:val="16"/>
        </w:rPr>
        <w:t>Meyers </w:t>
      </w:r>
      <w:r>
        <w:rPr>
          <w:i/>
          <w:color w:val="231F20"/>
          <w:sz w:val="16"/>
        </w:rPr>
        <w:t>II</w:t>
      </w:r>
      <w:r>
        <w:rPr>
          <w:color w:val="231F20"/>
          <w:sz w:val="16"/>
        </w:rPr>
        <w:t>), aff’d sub nom. </w:t>
      </w:r>
      <w:r>
        <w:rPr>
          <w:i/>
          <w:color w:val="231F20"/>
          <w:sz w:val="16"/>
        </w:rPr>
        <w:t>Prill </w:t>
      </w:r>
      <w:r>
        <w:rPr>
          <w:i/>
          <w:color w:val="231F20"/>
          <w:spacing w:val="-6"/>
          <w:sz w:val="16"/>
        </w:rPr>
        <w:t>v. </w:t>
      </w:r>
      <w:r>
        <w:rPr>
          <w:i/>
          <w:color w:val="231F20"/>
          <w:sz w:val="16"/>
        </w:rPr>
        <w:t>NLRB</w:t>
      </w:r>
      <w:r>
        <w:rPr>
          <w:color w:val="231F20"/>
          <w:sz w:val="16"/>
        </w:rPr>
        <w:t>, 835 </w:t>
      </w:r>
      <w:r>
        <w:rPr>
          <w:color w:val="231F20"/>
          <w:spacing w:val="-5"/>
          <w:sz w:val="16"/>
        </w:rPr>
        <w:t>F.2d </w:t>
      </w:r>
      <w:r>
        <w:rPr>
          <w:color w:val="231F20"/>
          <w:sz w:val="16"/>
        </w:rPr>
        <w:t>1481 </w:t>
      </w:r>
      <w:r>
        <w:rPr>
          <w:color w:val="231F20"/>
          <w:spacing w:val="2"/>
          <w:sz w:val="16"/>
        </w:rPr>
        <w:t>(D.C. </w:t>
      </w:r>
      <w:r>
        <w:rPr>
          <w:color w:val="231F20"/>
          <w:sz w:val="16"/>
        </w:rPr>
        <w:t>Cir.  </w:t>
      </w:r>
      <w:r>
        <w:rPr>
          <w:color w:val="231F20"/>
          <w:spacing w:val="2"/>
          <w:sz w:val="16"/>
        </w:rPr>
        <w:t>1987), cert. denied </w:t>
      </w:r>
      <w:r>
        <w:rPr>
          <w:color w:val="231F20"/>
          <w:sz w:val="16"/>
        </w:rPr>
        <w:t>487  U.S.  </w:t>
      </w:r>
      <w:r>
        <w:rPr>
          <w:color w:val="231F20"/>
          <w:spacing w:val="1"/>
          <w:sz w:val="16"/>
        </w:rPr>
        <w:t> </w:t>
      </w:r>
      <w:r>
        <w:rPr>
          <w:color w:val="231F20"/>
          <w:sz w:val="16"/>
        </w:rPr>
        <w:t>1205</w:t>
      </w:r>
    </w:p>
    <w:p>
      <w:pPr>
        <w:spacing w:line="183" w:lineRule="exact" w:before="0"/>
        <w:ind w:left="120" w:right="0" w:firstLine="0"/>
        <w:jc w:val="left"/>
        <w:rPr>
          <w:sz w:val="16"/>
        </w:rPr>
      </w:pPr>
      <w:r>
        <w:rPr>
          <w:color w:val="231F20"/>
          <w:sz w:val="16"/>
        </w:rPr>
        <w:t>(1988).</w:t>
      </w:r>
    </w:p>
    <w:p>
      <w:pPr>
        <w:spacing w:before="62"/>
        <w:ind w:left="120" w:right="0" w:firstLine="0"/>
        <w:jc w:val="left"/>
        <w:rPr>
          <w:sz w:val="16"/>
        </w:rPr>
      </w:pPr>
      <w:r>
        <w:rPr>
          <w:color w:val="231F20"/>
          <w:position w:val="5"/>
          <w:sz w:val="9"/>
        </w:rPr>
        <w:t>4 </w:t>
      </w:r>
      <w:r>
        <w:rPr>
          <w:i/>
          <w:color w:val="231F20"/>
          <w:sz w:val="16"/>
        </w:rPr>
        <w:t>Alstate Maintenance, Inc. </w:t>
      </w:r>
      <w:r>
        <w:rPr>
          <w:color w:val="1A1A1A"/>
          <w:sz w:val="16"/>
        </w:rPr>
        <w:t>367 N.L.R.B. 68 at</w:t>
      </w:r>
    </w:p>
    <w:p>
      <w:pPr>
        <w:spacing w:before="22"/>
        <w:ind w:left="120" w:right="0" w:firstLine="0"/>
        <w:jc w:val="left"/>
        <w:rPr>
          <w:sz w:val="16"/>
        </w:rPr>
      </w:pPr>
      <w:r>
        <w:rPr>
          <w:color w:val="1A1A1A"/>
          <w:sz w:val="16"/>
        </w:rPr>
        <w:t>*1.</w:t>
      </w:r>
    </w:p>
    <w:p>
      <w:pPr>
        <w:spacing w:before="61"/>
        <w:ind w:left="120" w:right="0" w:firstLine="0"/>
        <w:jc w:val="left"/>
        <w:rPr>
          <w:sz w:val="16"/>
        </w:rPr>
      </w:pPr>
      <w:r>
        <w:rPr>
          <w:color w:val="231F20"/>
          <w:position w:val="5"/>
          <w:sz w:val="9"/>
        </w:rPr>
        <w:t>5 </w:t>
      </w:r>
      <w:r>
        <w:rPr>
          <w:i/>
          <w:color w:val="231F20"/>
          <w:sz w:val="16"/>
        </w:rPr>
        <w:t>Id. </w:t>
      </w:r>
      <w:r>
        <w:rPr>
          <w:color w:val="231F20"/>
          <w:sz w:val="16"/>
        </w:rPr>
        <w:t>at *8.</w:t>
      </w:r>
    </w:p>
    <w:p>
      <w:pPr>
        <w:spacing w:before="62"/>
        <w:ind w:left="120" w:right="0" w:firstLine="0"/>
        <w:jc w:val="left"/>
        <w:rPr>
          <w:i/>
          <w:sz w:val="16"/>
        </w:rPr>
      </w:pPr>
      <w:r>
        <w:rPr>
          <w:color w:val="231F20"/>
          <w:w w:val="105"/>
          <w:position w:val="5"/>
          <w:sz w:val="9"/>
        </w:rPr>
        <w:t>6     </w:t>
      </w:r>
      <w:r>
        <w:rPr>
          <w:color w:val="231F20"/>
          <w:spacing w:val="20"/>
          <w:w w:val="105"/>
          <w:position w:val="5"/>
          <w:sz w:val="9"/>
        </w:rPr>
        <w:t> </w:t>
      </w:r>
      <w:r>
        <w:rPr>
          <w:i/>
          <w:color w:val="231F20"/>
          <w:w w:val="105"/>
          <w:sz w:val="16"/>
        </w:rPr>
        <w:t>Id.</w:t>
      </w:r>
    </w:p>
    <w:p>
      <w:pPr>
        <w:spacing w:before="62"/>
        <w:ind w:left="120" w:right="0" w:firstLine="0"/>
        <w:jc w:val="left"/>
        <w:rPr>
          <w:i/>
          <w:sz w:val="16"/>
        </w:rPr>
      </w:pPr>
      <w:r>
        <w:rPr>
          <w:color w:val="231F20"/>
          <w:w w:val="105"/>
          <w:position w:val="5"/>
          <w:sz w:val="9"/>
        </w:rPr>
        <w:t>7     </w:t>
      </w:r>
      <w:r>
        <w:rPr>
          <w:color w:val="231F20"/>
          <w:spacing w:val="20"/>
          <w:w w:val="105"/>
          <w:position w:val="5"/>
          <w:sz w:val="9"/>
        </w:rPr>
        <w:t> </w:t>
      </w:r>
      <w:r>
        <w:rPr>
          <w:i/>
          <w:color w:val="231F20"/>
          <w:w w:val="105"/>
          <w:sz w:val="16"/>
        </w:rPr>
        <w:t>Id.</w:t>
      </w:r>
    </w:p>
    <w:p>
      <w:pPr>
        <w:spacing w:before="62"/>
        <w:ind w:left="120" w:right="0" w:firstLine="0"/>
        <w:jc w:val="left"/>
        <w:rPr>
          <w:sz w:val="16"/>
        </w:rPr>
      </w:pPr>
      <w:r>
        <w:rPr>
          <w:color w:val="231F20"/>
          <w:position w:val="5"/>
          <w:sz w:val="9"/>
        </w:rPr>
        <w:t>8 </w:t>
      </w:r>
      <w:r>
        <w:rPr>
          <w:i/>
          <w:color w:val="231F20"/>
          <w:sz w:val="16"/>
        </w:rPr>
        <w:t>Id. </w:t>
      </w:r>
      <w:r>
        <w:rPr>
          <w:color w:val="231F20"/>
          <w:sz w:val="16"/>
        </w:rPr>
        <w:t>at *9</w:t>
      </w:r>
    </w:p>
    <w:p>
      <w:pPr>
        <w:spacing w:before="62"/>
        <w:ind w:left="120" w:right="0" w:firstLine="0"/>
        <w:jc w:val="left"/>
        <w:rPr>
          <w:sz w:val="16"/>
        </w:rPr>
      </w:pPr>
      <w:r>
        <w:rPr>
          <w:color w:val="231F20"/>
          <w:position w:val="5"/>
          <w:sz w:val="9"/>
        </w:rPr>
        <w:t>9 </w:t>
      </w:r>
      <w:r>
        <w:rPr>
          <w:i/>
          <w:color w:val="231F20"/>
          <w:sz w:val="16"/>
        </w:rPr>
        <w:t>Id. </w:t>
      </w:r>
      <w:r>
        <w:rPr>
          <w:color w:val="231F20"/>
          <w:sz w:val="16"/>
        </w:rPr>
        <w:t>at *11.</w:t>
      </w:r>
    </w:p>
    <w:p>
      <w:pPr>
        <w:spacing w:after="0"/>
        <w:jc w:val="left"/>
        <w:rPr>
          <w:sz w:val="16"/>
        </w:rPr>
        <w:sectPr>
          <w:type w:val="continuous"/>
          <w:pgSz w:w="12240" w:h="15840"/>
          <w:pgMar w:top="500" w:bottom="280" w:left="720" w:right="540"/>
        </w:sectPr>
      </w:pPr>
    </w:p>
    <w:p>
      <w:pPr>
        <w:pStyle w:val="BodyText"/>
        <w:spacing w:before="7"/>
      </w:pPr>
      <w:r>
        <w:rPr/>
        <w:pict>
          <v:group style="position:absolute;margin-left:44.374111pt;margin-top:50.856998pt;width:525.15pt;height:686.3pt;mso-position-horizontal-relative:page;mso-position-vertical-relative:page;z-index:-253090816" coordorigin="887,1017" coordsize="10503,13726">
            <v:shape style="position:absolute;left:944;top:1073;width:10392;height:13615" type="#_x0000_t75" stroked="false">
              <v:imagedata r:id="rId58" o:title=""/>
            </v:shape>
            <v:rect style="position:absolute;left:915;top:1044;width:10448;height:13671" filled="false" stroked="true" strokeweight="2.778053pt" strokecolor="#292a76">
              <v:stroke dashstyle="solid"/>
            </v:rect>
            <v:shape style="position:absolute;left:1229;top:1375;width:2304;height:3133" type="#_x0000_t75" stroked="false">
              <v:imagedata r:id="rId59" o:title=""/>
            </v:shape>
            <v:rect style="position:absolute;left:1209;top:1355;width:2342;height:3171" filled="false" stroked="true" strokeweight="1.851965pt" strokecolor="#df1e26">
              <v:stroke dashstyle="solid"/>
            </v:rect>
            <v:shape style="position:absolute;left:1801;top:7258;width:159;height:152" type="#_x0000_t75" stroked="false">
              <v:imagedata r:id="rId60" o:title=""/>
            </v:shape>
            <v:shape style="position:absolute;left:1801;top:7953;width:159;height:152" type="#_x0000_t75" stroked="false">
              <v:imagedata r:id="rId61" o:title=""/>
            </v:shape>
            <v:shape style="position:absolute;left:1801;top:8879;width:159;height:152" type="#_x0000_t75" stroked="false">
              <v:imagedata r:id="rId60" o:title=""/>
            </v:shape>
            <v:line style="position:absolute" from="1823,5558" to="10455,5558" stroked="true" strokeweight=".695574pt" strokecolor="#231f20">
              <v:stroke dashstyle="solid"/>
            </v:line>
            <v:line style="position:absolute" from="1823,6621" to="10455,6622" stroked="true" strokeweight=".695574pt" strokecolor="#231f20">
              <v:stroke dashstyle="solid"/>
            </v:line>
            <w10:wrap type="none"/>
          </v:group>
        </w:pict>
      </w:r>
    </w:p>
    <w:p>
      <w:pPr>
        <w:spacing w:before="99"/>
        <w:ind w:left="4126" w:right="585" w:hanging="680"/>
        <w:jc w:val="left"/>
        <w:rPr>
          <w:rFonts w:ascii="Cambria"/>
          <w:b/>
          <w:sz w:val="52"/>
        </w:rPr>
      </w:pPr>
      <w:r>
        <w:rPr>
          <w:rFonts w:ascii="Cambria"/>
          <w:b/>
          <w:shadow/>
          <w:color w:val="292A76"/>
          <w:sz w:val="52"/>
        </w:rPr>
        <w:t>Join</w:t>
      </w:r>
      <w:r>
        <w:rPr>
          <w:rFonts w:ascii="Cambria"/>
          <w:b/>
          <w:shadow w:val="0"/>
          <w:color w:val="292A76"/>
          <w:sz w:val="52"/>
        </w:rPr>
        <w:t> </w:t>
      </w:r>
      <w:r>
        <w:rPr>
          <w:rFonts w:ascii="Cambria"/>
          <w:b/>
          <w:shadow/>
          <w:color w:val="292A76"/>
          <w:sz w:val="52"/>
        </w:rPr>
        <w:t>A</w:t>
      </w:r>
      <w:r>
        <w:rPr>
          <w:rFonts w:ascii="Cambria"/>
          <w:b/>
          <w:shadow w:val="0"/>
          <w:color w:val="292A76"/>
          <w:sz w:val="52"/>
        </w:rPr>
        <w:t> </w:t>
      </w:r>
      <w:r>
        <w:rPr>
          <w:rFonts w:ascii="Cambria"/>
          <w:b/>
          <w:shadow/>
          <w:color w:val="292A76"/>
          <w:sz w:val="52"/>
        </w:rPr>
        <w:t>Network</w:t>
      </w:r>
      <w:r>
        <w:rPr>
          <w:rFonts w:ascii="Cambria"/>
          <w:b/>
          <w:shadow w:val="0"/>
          <w:color w:val="292A76"/>
          <w:sz w:val="52"/>
        </w:rPr>
        <w:t> </w:t>
      </w:r>
      <w:r>
        <w:rPr>
          <w:rFonts w:ascii="Cambria"/>
          <w:b/>
          <w:shadow/>
          <w:color w:val="292A76"/>
          <w:sz w:val="52"/>
        </w:rPr>
        <w:t>of</w:t>
      </w:r>
      <w:r>
        <w:rPr>
          <w:rFonts w:ascii="Cambria"/>
          <w:b/>
          <w:shadow w:val="0"/>
          <w:color w:val="292A76"/>
          <w:spacing w:val="-38"/>
          <w:sz w:val="52"/>
        </w:rPr>
        <w:t> </w:t>
      </w:r>
      <w:r>
        <w:rPr>
          <w:rFonts w:ascii="Cambria"/>
          <w:b/>
          <w:shadow/>
          <w:color w:val="292A76"/>
          <w:sz w:val="52"/>
        </w:rPr>
        <w:t>Specialists:</w:t>
      </w:r>
      <w:r>
        <w:rPr>
          <w:rFonts w:ascii="Cambria"/>
          <w:b/>
          <w:shadow w:val="0"/>
          <w:color w:val="292A76"/>
          <w:sz w:val="52"/>
        </w:rPr>
        <w:t> </w:t>
      </w:r>
      <w:r>
        <w:rPr>
          <w:rFonts w:ascii="Cambria"/>
          <w:b/>
          <w:shadow/>
          <w:color w:val="292A76"/>
          <w:sz w:val="52"/>
        </w:rPr>
        <w:t>Become</w:t>
      </w:r>
      <w:r>
        <w:rPr>
          <w:rFonts w:ascii="Cambria"/>
          <w:b/>
          <w:shadow w:val="0"/>
          <w:color w:val="292A76"/>
          <w:sz w:val="52"/>
        </w:rPr>
        <w:t> </w:t>
      </w:r>
      <w:r>
        <w:rPr>
          <w:rFonts w:ascii="Cambria"/>
          <w:b/>
          <w:shadow/>
          <w:color w:val="292A76"/>
          <w:sz w:val="52"/>
        </w:rPr>
        <w:t>Board</w:t>
      </w:r>
      <w:r>
        <w:rPr>
          <w:rFonts w:ascii="Cambria"/>
          <w:b/>
          <w:shadow w:val="0"/>
          <w:color w:val="292A76"/>
          <w:sz w:val="52"/>
        </w:rPr>
        <w:t> </w:t>
      </w:r>
      <w:r>
        <w:rPr>
          <w:rFonts w:ascii="Cambria"/>
          <w:b/>
          <w:shadow/>
          <w:color w:val="292A76"/>
          <w:sz w:val="52"/>
        </w:rPr>
        <w:t>Certified</w:t>
      </w:r>
      <w:r>
        <w:rPr>
          <w:rFonts w:ascii="Cambria"/>
          <w:b/>
          <w:shadow w:val="0"/>
          <w:color w:val="292A76"/>
          <w:spacing w:val="-37"/>
          <w:sz w:val="52"/>
        </w:rPr>
        <w:t> </w:t>
      </w:r>
      <w:r>
        <w:rPr>
          <w:rFonts w:ascii="Cambria"/>
          <w:b/>
          <w:shadow/>
          <w:color w:val="292A76"/>
          <w:sz w:val="52"/>
        </w:rPr>
        <w:t>In</w:t>
      </w:r>
    </w:p>
    <w:p>
      <w:pPr>
        <w:spacing w:line="216" w:lineRule="auto" w:before="1"/>
        <w:ind w:left="3312" w:right="580" w:firstLine="1916"/>
        <w:jc w:val="left"/>
        <w:rPr>
          <w:rFonts w:ascii="Cambria"/>
          <w:b/>
          <w:sz w:val="89"/>
        </w:rPr>
      </w:pPr>
      <w:r>
        <w:rPr>
          <w:rFonts w:ascii="Cambria"/>
          <w:b/>
          <w:shadow/>
          <w:color w:val="ED1C24"/>
          <w:sz w:val="89"/>
        </w:rPr>
        <w:t>Labor</w:t>
      </w:r>
      <w:r>
        <w:rPr>
          <w:rFonts w:ascii="Cambria"/>
          <w:b/>
          <w:shadow w:val="0"/>
          <w:color w:val="ED1C24"/>
          <w:sz w:val="89"/>
        </w:rPr>
        <w:t> </w:t>
      </w:r>
      <w:r>
        <w:rPr>
          <w:rFonts w:ascii="Cambria"/>
          <w:b/>
          <w:shadow/>
          <w:color w:val="ED1C24"/>
          <w:sz w:val="89"/>
        </w:rPr>
        <w:t>&amp;</w:t>
      </w:r>
      <w:r>
        <w:rPr>
          <w:rFonts w:ascii="Cambria"/>
          <w:b/>
          <w:shadow w:val="0"/>
          <w:color w:val="ED1C24"/>
          <w:sz w:val="89"/>
        </w:rPr>
        <w:t> </w:t>
      </w:r>
      <w:r>
        <w:rPr>
          <w:rFonts w:ascii="Cambria"/>
          <w:b/>
          <w:shadow/>
          <w:color w:val="ED1C24"/>
          <w:sz w:val="89"/>
        </w:rPr>
        <w:t>Employment</w:t>
      </w:r>
      <w:r>
        <w:rPr>
          <w:rFonts w:ascii="Cambria"/>
          <w:b/>
          <w:shadow w:val="0"/>
          <w:color w:val="ED1C24"/>
          <w:spacing w:val="-23"/>
          <w:sz w:val="89"/>
        </w:rPr>
        <w:t> </w:t>
      </w:r>
      <w:r>
        <w:rPr>
          <w:rFonts w:ascii="Cambria"/>
          <w:b/>
          <w:shadow/>
          <w:color w:val="ED1C24"/>
          <w:sz w:val="89"/>
        </w:rPr>
        <w:t>Law</w:t>
      </w:r>
    </w:p>
    <w:p>
      <w:pPr>
        <w:spacing w:line="337" w:lineRule="exact" w:before="346"/>
        <w:ind w:left="613" w:right="808" w:firstLine="0"/>
        <w:jc w:val="center"/>
        <w:rPr>
          <w:rFonts w:ascii="Tahoma" w:hAnsi="Tahoma"/>
          <w:b/>
          <w:sz w:val="28"/>
        </w:rPr>
      </w:pPr>
      <w:r>
        <w:rPr>
          <w:rFonts w:ascii="Tahoma" w:hAnsi="Tahoma"/>
          <w:b/>
          <w:color w:val="231F20"/>
          <w:sz w:val="28"/>
        </w:rPr>
        <w:t>The Florida Bar’s certification program is consistently</w:t>
      </w:r>
    </w:p>
    <w:p>
      <w:pPr>
        <w:spacing w:line="337" w:lineRule="exact" w:before="0"/>
        <w:ind w:left="613" w:right="810" w:firstLine="0"/>
        <w:jc w:val="center"/>
        <w:rPr>
          <w:rFonts w:ascii="Tahoma"/>
          <w:b/>
          <w:sz w:val="28"/>
        </w:rPr>
      </w:pPr>
      <w:r>
        <w:rPr>
          <w:rFonts w:ascii="Tahoma"/>
          <w:b/>
          <w:color w:val="231F20"/>
          <w:sz w:val="28"/>
        </w:rPr>
        <w:t>recognized as a national leader among other state programs.</w:t>
      </w:r>
    </w:p>
    <w:p>
      <w:pPr>
        <w:pStyle w:val="Heading5"/>
        <w:spacing w:before="176"/>
        <w:ind w:left="613" w:right="789"/>
        <w:rPr>
          <w:i/>
        </w:rPr>
      </w:pPr>
      <w:r>
        <w:rPr>
          <w:i/>
          <w:color w:val="231F20"/>
        </w:rPr>
        <w:t>Board certified lawyers are:</w:t>
      </w:r>
    </w:p>
    <w:p>
      <w:pPr>
        <w:pStyle w:val="Heading5"/>
        <w:rPr>
          <w:i/>
        </w:rPr>
      </w:pPr>
      <w:r>
        <w:rPr>
          <w:i/>
          <w:color w:val="231F20"/>
        </w:rPr>
        <w:t>“Evaluated for professionalism and tested for expertise.”</w:t>
      </w:r>
    </w:p>
    <w:p>
      <w:pPr>
        <w:spacing w:before="190"/>
        <w:ind w:left="613" w:right="810" w:firstLine="0"/>
        <w:jc w:val="center"/>
        <w:rPr>
          <w:rFonts w:ascii="Cambria"/>
          <w:b/>
          <w:sz w:val="26"/>
        </w:rPr>
      </w:pPr>
      <w:r>
        <w:rPr>
          <w:rFonts w:ascii="Cambria"/>
          <w:b/>
          <w:color w:val="ED1C24"/>
          <w:sz w:val="26"/>
        </w:rPr>
        <w:t>Florida Bar board certification can benefit you in the following ways:</w:t>
      </w:r>
    </w:p>
    <w:p>
      <w:pPr>
        <w:numPr>
          <w:ilvl w:val="3"/>
          <w:numId w:val="1"/>
        </w:numPr>
        <w:tabs>
          <w:tab w:pos="1561" w:val="left" w:leader="none"/>
          <w:tab w:pos="1562" w:val="left" w:leader="none"/>
        </w:tabs>
        <w:spacing w:line="218" w:lineRule="auto" w:before="222"/>
        <w:ind w:left="1561" w:right="1823" w:hanging="500"/>
        <w:jc w:val="left"/>
        <w:rPr>
          <w:rFonts w:ascii="Times New Roman"/>
          <w:i/>
          <w:sz w:val="22"/>
        </w:rPr>
      </w:pPr>
      <w:r>
        <w:rPr>
          <w:rFonts w:ascii="Times New Roman"/>
          <w:i/>
          <w:color w:val="231F20"/>
          <w:sz w:val="22"/>
        </w:rPr>
        <w:t>Certification provides an objective measure that a potential client can rely upon  </w:t>
      </w:r>
      <w:r>
        <w:rPr>
          <w:rFonts w:ascii="Times New Roman"/>
          <w:i/>
          <w:color w:val="231F20"/>
          <w:sz w:val="22"/>
        </w:rPr>
        <w:t>when selecting a lawyer.</w:t>
      </w:r>
    </w:p>
    <w:p>
      <w:pPr>
        <w:pStyle w:val="BodyText"/>
        <w:spacing w:before="4"/>
        <w:rPr>
          <w:rFonts w:ascii="Times New Roman"/>
          <w:i/>
        </w:rPr>
      </w:pPr>
    </w:p>
    <w:p>
      <w:pPr>
        <w:numPr>
          <w:ilvl w:val="3"/>
          <w:numId w:val="1"/>
        </w:numPr>
        <w:tabs>
          <w:tab w:pos="1562" w:val="left" w:leader="none"/>
        </w:tabs>
        <w:spacing w:line="218" w:lineRule="auto" w:before="0"/>
        <w:ind w:left="1561" w:right="1255" w:hanging="500"/>
        <w:jc w:val="both"/>
        <w:rPr>
          <w:rFonts w:ascii="Times New Roman" w:hAnsi="Times New Roman"/>
          <w:i/>
          <w:sz w:val="22"/>
        </w:rPr>
      </w:pPr>
      <w:r>
        <w:rPr>
          <w:rFonts w:ascii="Times New Roman" w:hAnsi="Times New Roman"/>
          <w:i/>
          <w:color w:val="231F20"/>
          <w:sz w:val="22"/>
        </w:rPr>
        <w:t>By becoming board certified, you join an existing network – and a directory of lawyers </w:t>
      </w:r>
      <w:r>
        <w:rPr>
          <w:rFonts w:ascii="Times New Roman" w:hAnsi="Times New Roman"/>
          <w:i/>
          <w:color w:val="231F20"/>
          <w:spacing w:val="-6"/>
          <w:sz w:val="22"/>
        </w:rPr>
        <w:t>at </w:t>
      </w:r>
      <w:r>
        <w:rPr>
          <w:rFonts w:ascii="Times New Roman" w:hAnsi="Times New Roman"/>
          <w:b/>
          <w:i/>
          <w:color w:val="231F20"/>
          <w:sz w:val="22"/>
        </w:rPr>
        <w:t>FloridaBar.org/certification </w:t>
      </w:r>
      <w:r>
        <w:rPr>
          <w:rFonts w:ascii="Times New Roman" w:hAnsi="Times New Roman"/>
          <w:i/>
          <w:color w:val="231F20"/>
          <w:sz w:val="22"/>
        </w:rPr>
        <w:t>– of specialists who frequently refer others to specialists in </w:t>
      </w:r>
      <w:r>
        <w:rPr>
          <w:rFonts w:ascii="Times New Roman" w:hAnsi="Times New Roman"/>
          <w:i/>
          <w:color w:val="231F20"/>
          <w:sz w:val="22"/>
        </w:rPr>
        <w:t>their fields of practice.</w:t>
      </w:r>
    </w:p>
    <w:p>
      <w:pPr>
        <w:pStyle w:val="BodyText"/>
        <w:spacing w:before="6"/>
        <w:rPr>
          <w:rFonts w:ascii="Times New Roman"/>
          <w:i/>
        </w:rPr>
      </w:pPr>
    </w:p>
    <w:p>
      <w:pPr>
        <w:numPr>
          <w:ilvl w:val="3"/>
          <w:numId w:val="1"/>
        </w:numPr>
        <w:tabs>
          <w:tab w:pos="1562" w:val="left" w:leader="none"/>
        </w:tabs>
        <w:spacing w:line="218" w:lineRule="auto" w:before="0"/>
        <w:ind w:left="1561" w:right="1255" w:hanging="500"/>
        <w:jc w:val="both"/>
        <w:rPr>
          <w:rFonts w:ascii="Times New Roman"/>
          <w:i/>
          <w:sz w:val="22"/>
        </w:rPr>
      </w:pPr>
      <w:r>
        <w:rPr>
          <w:rFonts w:ascii="Times New Roman"/>
          <w:i/>
          <w:color w:val="231F20"/>
          <w:sz w:val="22"/>
        </w:rPr>
        <w:t>Certification may enhance the stature of your law firm and can result in lower malpractice </w:t>
      </w:r>
      <w:r>
        <w:rPr>
          <w:rFonts w:ascii="Times New Roman"/>
          <w:i/>
          <w:color w:val="231F20"/>
          <w:sz w:val="22"/>
        </w:rPr>
        <w:t>insurance rates. Florida Lawyers Mutual Insurance Co. offers a 10 percent discount to board certified lawyers.</w:t>
      </w:r>
    </w:p>
    <w:p>
      <w:pPr>
        <w:pStyle w:val="BodyText"/>
        <w:spacing w:before="9"/>
        <w:rPr>
          <w:rFonts w:ascii="Times New Roman"/>
          <w:i/>
        </w:rPr>
      </w:pPr>
    </w:p>
    <w:p>
      <w:pPr>
        <w:spacing w:before="0"/>
        <w:ind w:left="894" w:right="0" w:firstLine="0"/>
        <w:jc w:val="left"/>
        <w:rPr>
          <w:rFonts w:ascii="Times New Roman"/>
          <w:b/>
          <w:sz w:val="22"/>
        </w:rPr>
      </w:pPr>
      <w:r>
        <w:rPr>
          <w:rFonts w:ascii="Times New Roman"/>
          <w:b/>
          <w:color w:val="DF1E26"/>
          <w:sz w:val="22"/>
        </w:rPr>
        <w:t>Minimum standards for labor and employment law certification, provided in Rule 6-23.3, include:</w:t>
      </w:r>
    </w:p>
    <w:p>
      <w:pPr>
        <w:numPr>
          <w:ilvl w:val="4"/>
          <w:numId w:val="1"/>
        </w:numPr>
        <w:tabs>
          <w:tab w:pos="1727" w:val="left" w:leader="none"/>
          <w:tab w:pos="1729" w:val="left" w:leader="none"/>
        </w:tabs>
        <w:spacing w:line="278" w:lineRule="auto" w:before="43"/>
        <w:ind w:left="1894" w:right="1258" w:hanging="500"/>
        <w:jc w:val="left"/>
        <w:rPr>
          <w:rFonts w:ascii="Times New Roman"/>
          <w:b/>
          <w:sz w:val="22"/>
        </w:rPr>
      </w:pPr>
      <w:r>
        <w:rPr>
          <w:rFonts w:ascii="Times New Roman"/>
          <w:b/>
          <w:color w:val="231F20"/>
          <w:sz w:val="22"/>
        </w:rPr>
        <w:t>Practice of law for at least 5 years, or 4 years with an LL.M. in labor and employment law;</w:t>
      </w:r>
    </w:p>
    <w:p>
      <w:pPr>
        <w:numPr>
          <w:ilvl w:val="4"/>
          <w:numId w:val="1"/>
        </w:numPr>
        <w:tabs>
          <w:tab w:pos="1727" w:val="left" w:leader="none"/>
          <w:tab w:pos="1729" w:val="left" w:leader="none"/>
        </w:tabs>
        <w:spacing w:line="278" w:lineRule="auto" w:before="1"/>
        <w:ind w:left="1894" w:right="1255" w:hanging="500"/>
        <w:jc w:val="left"/>
        <w:rPr>
          <w:rFonts w:ascii="Times New Roman"/>
          <w:b/>
          <w:sz w:val="22"/>
        </w:rPr>
      </w:pPr>
      <w:r>
        <w:rPr>
          <w:rFonts w:ascii="Times New Roman"/>
          <w:b/>
          <w:color w:val="231F20"/>
          <w:sz w:val="22"/>
        </w:rPr>
        <w:t>Substantial involvement in the specialty of labor and employment law- 50%  or more- in the 5 years immediately preceding</w:t>
      </w:r>
      <w:r>
        <w:rPr>
          <w:rFonts w:ascii="Times New Roman"/>
          <w:b/>
          <w:color w:val="231F20"/>
          <w:spacing w:val="3"/>
          <w:sz w:val="22"/>
        </w:rPr>
        <w:t> </w:t>
      </w:r>
      <w:r>
        <w:rPr>
          <w:rFonts w:ascii="Times New Roman"/>
          <w:b/>
          <w:color w:val="231F20"/>
          <w:sz w:val="22"/>
        </w:rPr>
        <w:t>application;</w:t>
      </w:r>
    </w:p>
    <w:p>
      <w:pPr>
        <w:numPr>
          <w:ilvl w:val="4"/>
          <w:numId w:val="1"/>
        </w:numPr>
        <w:tabs>
          <w:tab w:pos="1728" w:val="left" w:leader="none"/>
          <w:tab w:pos="1729" w:val="left" w:leader="none"/>
        </w:tabs>
        <w:spacing w:line="280" w:lineRule="auto" w:before="1"/>
        <w:ind w:left="1894" w:right="1245" w:hanging="500"/>
        <w:jc w:val="left"/>
        <w:rPr>
          <w:rFonts w:ascii="Times New Roman"/>
          <w:b/>
          <w:sz w:val="22"/>
        </w:rPr>
      </w:pPr>
      <w:r>
        <w:rPr>
          <w:rFonts w:ascii="Times New Roman"/>
          <w:b/>
          <w:color w:val="231F20"/>
          <w:sz w:val="22"/>
        </w:rPr>
        <w:t>60 hours of approved labor and employment law certification continuing legal education in the 3 years immediately preceding</w:t>
      </w:r>
      <w:r>
        <w:rPr>
          <w:rFonts w:ascii="Times New Roman"/>
          <w:b/>
          <w:color w:val="231F20"/>
          <w:spacing w:val="10"/>
          <w:sz w:val="22"/>
        </w:rPr>
        <w:t> </w:t>
      </w:r>
      <w:r>
        <w:rPr>
          <w:rFonts w:ascii="Times New Roman"/>
          <w:b/>
          <w:color w:val="231F20"/>
          <w:sz w:val="22"/>
        </w:rPr>
        <w:t>application;</w:t>
      </w:r>
    </w:p>
    <w:p>
      <w:pPr>
        <w:numPr>
          <w:ilvl w:val="4"/>
          <w:numId w:val="1"/>
        </w:numPr>
        <w:tabs>
          <w:tab w:pos="1728" w:val="left" w:leader="none"/>
          <w:tab w:pos="1729" w:val="left" w:leader="none"/>
        </w:tabs>
        <w:spacing w:line="251" w:lineRule="exact" w:before="0"/>
        <w:ind w:left="1728" w:right="0" w:hanging="334"/>
        <w:jc w:val="left"/>
        <w:rPr>
          <w:rFonts w:ascii="Times New Roman"/>
          <w:b/>
          <w:sz w:val="22"/>
        </w:rPr>
      </w:pPr>
      <w:r>
        <w:rPr>
          <w:rFonts w:ascii="Times New Roman"/>
          <w:b/>
          <w:color w:val="231F20"/>
          <w:sz w:val="22"/>
        </w:rPr>
        <w:t>Peer review;</w:t>
      </w:r>
      <w:r>
        <w:rPr>
          <w:rFonts w:ascii="Times New Roman"/>
          <w:b/>
          <w:color w:val="231F20"/>
          <w:spacing w:val="1"/>
          <w:sz w:val="22"/>
        </w:rPr>
        <w:t> </w:t>
      </w:r>
      <w:r>
        <w:rPr>
          <w:rFonts w:ascii="Times New Roman"/>
          <w:b/>
          <w:color w:val="231F20"/>
          <w:sz w:val="22"/>
        </w:rPr>
        <w:t>and,</w:t>
      </w:r>
    </w:p>
    <w:p>
      <w:pPr>
        <w:numPr>
          <w:ilvl w:val="4"/>
          <w:numId w:val="1"/>
        </w:numPr>
        <w:tabs>
          <w:tab w:pos="1728" w:val="left" w:leader="none"/>
          <w:tab w:pos="1729" w:val="left" w:leader="none"/>
        </w:tabs>
        <w:spacing w:before="38"/>
        <w:ind w:left="1728" w:right="0" w:hanging="334"/>
        <w:jc w:val="left"/>
        <w:rPr>
          <w:rFonts w:ascii="Times New Roman"/>
          <w:b/>
          <w:sz w:val="22"/>
        </w:rPr>
      </w:pPr>
      <w:r>
        <w:rPr>
          <w:rFonts w:ascii="Times New Roman"/>
          <w:b/>
          <w:color w:val="231F20"/>
          <w:sz w:val="22"/>
        </w:rPr>
        <w:t>A written</w:t>
      </w:r>
      <w:r>
        <w:rPr>
          <w:rFonts w:ascii="Times New Roman"/>
          <w:b/>
          <w:color w:val="231F20"/>
          <w:spacing w:val="1"/>
          <w:sz w:val="22"/>
        </w:rPr>
        <w:t> </w:t>
      </w:r>
      <w:r>
        <w:rPr>
          <w:rFonts w:ascii="Times New Roman"/>
          <w:b/>
          <w:color w:val="231F20"/>
          <w:sz w:val="22"/>
        </w:rPr>
        <w:t>examination.</w:t>
      </w:r>
    </w:p>
    <w:p>
      <w:pPr>
        <w:pStyle w:val="BodyText"/>
        <w:spacing w:before="10"/>
        <w:rPr>
          <w:rFonts w:ascii="Times New Roman"/>
          <w:b/>
          <w:sz w:val="19"/>
        </w:rPr>
      </w:pPr>
    </w:p>
    <w:p>
      <w:pPr>
        <w:spacing w:line="242" w:lineRule="auto" w:before="0"/>
        <w:ind w:left="1093" w:right="1290" w:firstLine="1"/>
        <w:jc w:val="center"/>
        <w:rPr>
          <w:rFonts w:ascii="Cambria" w:hAnsi="Cambria"/>
          <w:b/>
          <w:sz w:val="22"/>
        </w:rPr>
      </w:pPr>
      <w:r>
        <w:rPr>
          <w:rFonts w:ascii="Cambria" w:hAnsi="Cambria"/>
          <w:b/>
          <w:color w:val="DF1E26"/>
          <w:sz w:val="22"/>
        </w:rPr>
        <w:t>If you're considering board certification in labor and employment law, applications must be postmarked by August 31 for the following year’s exam. Standards, policies, applications and staff contacts are available online at</w:t>
      </w:r>
    </w:p>
    <w:p>
      <w:pPr>
        <w:pStyle w:val="Heading8"/>
        <w:rPr>
          <w:u w:val="none"/>
        </w:rPr>
      </w:pPr>
      <w:hyperlink r:id="rId62">
        <w:r>
          <w:rPr>
            <w:color w:val="3954A5"/>
            <w:u w:val="thick" w:color="3954A5"/>
          </w:rPr>
          <w:t>FloridaBar.org/certification</w:t>
        </w:r>
        <w:r>
          <w:rPr>
            <w:color w:val="0D4A7C"/>
            <w:u w:val="none"/>
          </w:rPr>
          <w:t>.</w:t>
        </w:r>
      </w:hyperlink>
    </w:p>
    <w:p>
      <w:pPr>
        <w:spacing w:after="0"/>
        <w:sectPr>
          <w:headerReference w:type="default" r:id="rId56"/>
          <w:footerReference w:type="default" r:id="rId57"/>
          <w:pgSz w:w="12240" w:h="15840"/>
          <w:pgMar w:header="0" w:footer="558" w:top="1020" w:bottom="740" w:left="720" w:right="540"/>
          <w:pgNumType w:start="7"/>
        </w:sectPr>
      </w:pPr>
    </w:p>
    <w:p>
      <w:pPr>
        <w:pStyle w:val="BodyText"/>
        <w:spacing w:line="20" w:lineRule="exact"/>
        <w:ind w:left="110"/>
        <w:rPr>
          <w:rFonts w:ascii="Cambria"/>
          <w:sz w:val="2"/>
        </w:rPr>
      </w:pPr>
      <w:r>
        <w:rPr>
          <w:rFonts w:ascii="Cambria"/>
          <w:sz w:val="2"/>
        </w:rPr>
        <w:pict>
          <v:group style="width:528pt;height:1pt;mso-position-horizontal-relative:char;mso-position-vertical-relative:line" coordorigin="0,0" coordsize="10560,20">
            <v:line style="position:absolute" from="0,10" to="10560,10" stroked="true" strokeweight="1pt" strokecolor="#231f20">
              <v:stroke dashstyle="solid"/>
            </v:line>
          </v:group>
        </w:pict>
      </w:r>
      <w:r>
        <w:rPr>
          <w:rFonts w:ascii="Cambria"/>
          <w:sz w:val="2"/>
        </w:rPr>
      </w:r>
    </w:p>
    <w:p>
      <w:pPr>
        <w:spacing w:before="88"/>
        <w:ind w:left="120" w:right="0" w:firstLine="0"/>
        <w:jc w:val="left"/>
        <w:rPr>
          <w:i/>
          <w:sz w:val="20"/>
        </w:rPr>
      </w:pPr>
      <w:r>
        <w:rPr/>
        <w:pict>
          <v:shape style="position:absolute;margin-left:42pt;margin-top:21.779909pt;width:528pt;height:.1pt;mso-position-horizontal-relative:page;mso-position-vertical-relative:paragraph;z-index:-251554816;mso-wrap-distance-left:0;mso-wrap-distance-right:0" coordorigin="840,436" coordsize="10560,0" path="m840,436l11400,436e" filled="false" stroked="true" strokeweight="2pt" strokecolor="#231f20">
            <v:path arrowok="t"/>
            <v:stroke dashstyle="solid"/>
            <w10:wrap type="topAndBottom"/>
          </v:shape>
        </w:pict>
      </w:r>
      <w:r>
        <w:rPr>
          <w:b/>
          <w:color w:val="0076BF"/>
          <w:sz w:val="20"/>
        </w:rPr>
        <w:t>JUST SAy NO, </w:t>
      </w:r>
      <w:r>
        <w:rPr>
          <w:i/>
          <w:color w:val="0076BF"/>
          <w:sz w:val="20"/>
        </w:rPr>
        <w:t>continued from page 1</w:t>
      </w:r>
    </w:p>
    <w:p>
      <w:pPr>
        <w:pStyle w:val="BodyText"/>
        <w:spacing w:before="1"/>
        <w:rPr>
          <w:i/>
          <w:sz w:val="6"/>
        </w:rPr>
      </w:pPr>
    </w:p>
    <w:p>
      <w:pPr>
        <w:spacing w:after="0"/>
        <w:rPr>
          <w:sz w:val="6"/>
        </w:rPr>
        <w:sectPr>
          <w:headerReference w:type="default" r:id="rId63"/>
          <w:footerReference w:type="default" r:id="rId64"/>
          <w:pgSz w:w="12240" w:h="15840"/>
          <w:pgMar w:header="0" w:footer="558" w:top="980" w:bottom="740" w:left="720" w:right="540"/>
          <w:pgNumType w:start="8"/>
        </w:sectPr>
      </w:pPr>
    </w:p>
    <w:p>
      <w:pPr>
        <w:spacing w:line="254" w:lineRule="auto" w:before="83"/>
        <w:ind w:left="119" w:right="45" w:firstLine="0"/>
        <w:jc w:val="both"/>
        <w:rPr>
          <w:sz w:val="12"/>
        </w:rPr>
      </w:pPr>
      <w:r>
        <w:rPr>
          <w:color w:val="231F20"/>
          <w:sz w:val="20"/>
        </w:rPr>
        <w:t>was able to reach a consensus, albeit five</w:t>
      </w:r>
      <w:r>
        <w:rPr>
          <w:color w:val="231F20"/>
          <w:spacing w:val="-15"/>
          <w:sz w:val="20"/>
        </w:rPr>
        <w:t> </w:t>
      </w:r>
      <w:r>
        <w:rPr>
          <w:color w:val="231F20"/>
          <w:sz w:val="20"/>
        </w:rPr>
        <w:t>to</w:t>
      </w:r>
      <w:r>
        <w:rPr>
          <w:color w:val="231F20"/>
          <w:spacing w:val="-15"/>
          <w:sz w:val="20"/>
        </w:rPr>
        <w:t> </w:t>
      </w:r>
      <w:r>
        <w:rPr>
          <w:color w:val="231F20"/>
          <w:spacing w:val="-3"/>
          <w:sz w:val="20"/>
        </w:rPr>
        <w:t>four,</w:t>
      </w:r>
      <w:r>
        <w:rPr>
          <w:color w:val="231F20"/>
          <w:spacing w:val="-15"/>
          <w:sz w:val="20"/>
        </w:rPr>
        <w:t> </w:t>
      </w:r>
      <w:r>
        <w:rPr>
          <w:color w:val="231F20"/>
          <w:sz w:val="20"/>
        </w:rPr>
        <w:t>when</w:t>
      </w:r>
      <w:r>
        <w:rPr>
          <w:color w:val="231F20"/>
          <w:spacing w:val="-15"/>
          <w:sz w:val="20"/>
        </w:rPr>
        <w:t> </w:t>
      </w:r>
      <w:r>
        <w:rPr>
          <w:color w:val="231F20"/>
          <w:sz w:val="20"/>
        </w:rPr>
        <w:t>addressing</w:t>
      </w:r>
      <w:r>
        <w:rPr>
          <w:color w:val="231F20"/>
          <w:spacing w:val="-15"/>
          <w:sz w:val="20"/>
        </w:rPr>
        <w:t> </w:t>
      </w:r>
      <w:r>
        <w:rPr>
          <w:color w:val="231F20"/>
          <w:sz w:val="20"/>
        </w:rPr>
        <w:t>this</w:t>
      </w:r>
      <w:r>
        <w:rPr>
          <w:color w:val="231F20"/>
          <w:spacing w:val="-15"/>
          <w:sz w:val="20"/>
        </w:rPr>
        <w:t> </w:t>
      </w:r>
      <w:r>
        <w:rPr>
          <w:color w:val="231F20"/>
          <w:sz w:val="20"/>
        </w:rPr>
        <w:t>issue in the context of drug testing of public employees in </w:t>
      </w:r>
      <w:r>
        <w:rPr>
          <w:i/>
          <w:color w:val="231F20"/>
          <w:sz w:val="20"/>
        </w:rPr>
        <w:t>National Treasury Em- </w:t>
      </w:r>
      <w:r>
        <w:rPr>
          <w:i/>
          <w:color w:val="231F20"/>
          <w:sz w:val="20"/>
        </w:rPr>
        <w:t>ployees Union </w:t>
      </w:r>
      <w:r>
        <w:rPr>
          <w:i/>
          <w:color w:val="231F20"/>
          <w:spacing w:val="-8"/>
          <w:sz w:val="20"/>
        </w:rPr>
        <w:t>v. </w:t>
      </w:r>
      <w:r>
        <w:rPr>
          <w:i/>
          <w:color w:val="231F20"/>
          <w:spacing w:val="-3"/>
          <w:sz w:val="20"/>
        </w:rPr>
        <w:t>Von</w:t>
      </w:r>
      <w:r>
        <w:rPr>
          <w:i/>
          <w:color w:val="231F20"/>
          <w:spacing w:val="2"/>
          <w:sz w:val="20"/>
        </w:rPr>
        <w:t> </w:t>
      </w:r>
      <w:r>
        <w:rPr>
          <w:i/>
          <w:color w:val="231F20"/>
          <w:sz w:val="20"/>
        </w:rPr>
        <w:t>Raab</w:t>
      </w:r>
      <w:r>
        <w:rPr>
          <w:color w:val="231F20"/>
          <w:sz w:val="20"/>
        </w:rPr>
        <w:t>.</w:t>
      </w:r>
      <w:r>
        <w:rPr>
          <w:color w:val="231F20"/>
          <w:position w:val="7"/>
          <w:sz w:val="12"/>
        </w:rPr>
        <w:t>2</w:t>
      </w:r>
    </w:p>
    <w:p>
      <w:pPr>
        <w:pStyle w:val="BodyText"/>
        <w:spacing w:line="254" w:lineRule="auto" w:before="1"/>
        <w:ind w:left="119" w:right="40" w:firstLine="180"/>
        <w:jc w:val="both"/>
        <w:rPr>
          <w:sz w:val="12"/>
        </w:rPr>
      </w:pPr>
      <w:r>
        <w:rPr>
          <w:color w:val="231F20"/>
        </w:rPr>
        <w:t>In </w:t>
      </w:r>
      <w:r>
        <w:rPr>
          <w:i/>
          <w:color w:val="231F20"/>
          <w:spacing w:val="-3"/>
        </w:rPr>
        <w:t>Von </w:t>
      </w:r>
      <w:r>
        <w:rPr>
          <w:i/>
          <w:color w:val="231F20"/>
        </w:rPr>
        <w:t>Raab</w:t>
      </w:r>
      <w:r>
        <w:rPr>
          <w:color w:val="231F20"/>
        </w:rPr>
        <w:t>, the Court upheld the drug testing of applicants for jobs as customs</w:t>
      </w:r>
      <w:r>
        <w:rPr>
          <w:color w:val="231F20"/>
          <w:spacing w:val="-14"/>
        </w:rPr>
        <w:t> </w:t>
      </w:r>
      <w:r>
        <w:rPr>
          <w:color w:val="231F20"/>
        </w:rPr>
        <w:t>agents.</w:t>
      </w:r>
      <w:r>
        <w:rPr>
          <w:color w:val="231F20"/>
          <w:spacing w:val="-13"/>
        </w:rPr>
        <w:t> </w:t>
      </w:r>
      <w:r>
        <w:rPr>
          <w:color w:val="231F20"/>
        </w:rPr>
        <w:t>In</w:t>
      </w:r>
      <w:r>
        <w:rPr>
          <w:color w:val="231F20"/>
          <w:spacing w:val="-13"/>
        </w:rPr>
        <w:t> </w:t>
      </w:r>
      <w:r>
        <w:rPr>
          <w:color w:val="231F20"/>
        </w:rPr>
        <w:t>doing</w:t>
      </w:r>
      <w:r>
        <w:rPr>
          <w:color w:val="231F20"/>
          <w:spacing w:val="-14"/>
        </w:rPr>
        <w:t> </w:t>
      </w:r>
      <w:r>
        <w:rPr>
          <w:color w:val="231F20"/>
        </w:rPr>
        <w:t>so,</w:t>
      </w:r>
      <w:r>
        <w:rPr>
          <w:color w:val="231F20"/>
          <w:spacing w:val="-13"/>
        </w:rPr>
        <w:t> </w:t>
      </w:r>
      <w:r>
        <w:rPr>
          <w:color w:val="231F20"/>
        </w:rPr>
        <w:t>the</w:t>
      </w:r>
      <w:r>
        <w:rPr>
          <w:color w:val="231F20"/>
          <w:spacing w:val="-13"/>
        </w:rPr>
        <w:t> </w:t>
      </w:r>
      <w:r>
        <w:rPr>
          <w:color w:val="231F20"/>
        </w:rPr>
        <w:t>Court </w:t>
      </w:r>
      <w:r>
        <w:rPr>
          <w:color w:val="231F20"/>
          <w:spacing w:val="2"/>
        </w:rPr>
        <w:t>observed that urine tests </w:t>
      </w:r>
      <w:r>
        <w:rPr>
          <w:color w:val="231F20"/>
        </w:rPr>
        <w:t>for </w:t>
      </w:r>
      <w:r>
        <w:rPr>
          <w:color w:val="231F20"/>
          <w:spacing w:val="3"/>
        </w:rPr>
        <w:t>drugs, </w:t>
      </w:r>
      <w:r>
        <w:rPr>
          <w:color w:val="231F20"/>
          <w:spacing w:val="2"/>
        </w:rPr>
        <w:t>even </w:t>
      </w:r>
      <w:r>
        <w:rPr>
          <w:color w:val="231F20"/>
        </w:rPr>
        <w:t>in the </w:t>
      </w:r>
      <w:r>
        <w:rPr>
          <w:color w:val="231F20"/>
          <w:spacing w:val="2"/>
        </w:rPr>
        <w:t>context </w:t>
      </w:r>
      <w:r>
        <w:rPr>
          <w:color w:val="231F20"/>
        </w:rPr>
        <w:t>of </w:t>
      </w:r>
      <w:r>
        <w:rPr>
          <w:color w:val="231F20"/>
          <w:spacing w:val="3"/>
        </w:rPr>
        <w:t>employment, </w:t>
      </w:r>
      <w:r>
        <w:rPr>
          <w:color w:val="231F20"/>
        </w:rPr>
        <w:t>are searches and must meet the rea- sonableness</w:t>
      </w:r>
      <w:r>
        <w:rPr>
          <w:color w:val="231F20"/>
          <w:spacing w:val="-22"/>
        </w:rPr>
        <w:t> </w:t>
      </w:r>
      <w:r>
        <w:rPr>
          <w:color w:val="231F20"/>
        </w:rPr>
        <w:t>requirement</w:t>
      </w:r>
      <w:r>
        <w:rPr>
          <w:color w:val="231F20"/>
          <w:spacing w:val="-21"/>
        </w:rPr>
        <w:t> </w:t>
      </w:r>
      <w:r>
        <w:rPr>
          <w:color w:val="231F20"/>
        </w:rPr>
        <w:t>of</w:t>
      </w:r>
      <w:r>
        <w:rPr>
          <w:color w:val="231F20"/>
          <w:spacing w:val="-23"/>
        </w:rPr>
        <w:t> </w:t>
      </w:r>
      <w:r>
        <w:rPr>
          <w:color w:val="231F20"/>
        </w:rPr>
        <w:t>the</w:t>
      </w:r>
      <w:r>
        <w:rPr>
          <w:color w:val="231F20"/>
          <w:spacing w:val="-21"/>
        </w:rPr>
        <w:t> </w:t>
      </w:r>
      <w:r>
        <w:rPr>
          <w:color w:val="231F20"/>
        </w:rPr>
        <w:t>Fourth Amendment. The Court balanced the privacy</w:t>
      </w:r>
      <w:r>
        <w:rPr>
          <w:color w:val="231F20"/>
          <w:spacing w:val="-22"/>
        </w:rPr>
        <w:t> </w:t>
      </w:r>
      <w:r>
        <w:rPr>
          <w:color w:val="231F20"/>
        </w:rPr>
        <w:t>rights</w:t>
      </w:r>
      <w:r>
        <w:rPr>
          <w:color w:val="231F20"/>
          <w:spacing w:val="-21"/>
        </w:rPr>
        <w:t> </w:t>
      </w:r>
      <w:r>
        <w:rPr>
          <w:color w:val="231F20"/>
        </w:rPr>
        <w:t>of</w:t>
      </w:r>
      <w:r>
        <w:rPr>
          <w:color w:val="231F20"/>
          <w:spacing w:val="-21"/>
        </w:rPr>
        <w:t> </w:t>
      </w:r>
      <w:r>
        <w:rPr>
          <w:color w:val="231F20"/>
        </w:rPr>
        <w:t>employees</w:t>
      </w:r>
      <w:r>
        <w:rPr>
          <w:color w:val="231F20"/>
          <w:spacing w:val="-22"/>
        </w:rPr>
        <w:t> </w:t>
      </w:r>
      <w:r>
        <w:rPr>
          <w:color w:val="231F20"/>
        </w:rPr>
        <w:t>against</w:t>
      </w:r>
      <w:r>
        <w:rPr>
          <w:color w:val="231F20"/>
          <w:spacing w:val="-21"/>
        </w:rPr>
        <w:t> </w:t>
      </w:r>
      <w:r>
        <w:rPr>
          <w:color w:val="231F20"/>
        </w:rPr>
        <w:t>the public</w:t>
      </w:r>
      <w:r>
        <w:rPr>
          <w:color w:val="231F20"/>
          <w:spacing w:val="-27"/>
        </w:rPr>
        <w:t> </w:t>
      </w:r>
      <w:r>
        <w:rPr>
          <w:color w:val="231F20"/>
        </w:rPr>
        <w:t>employer’s</w:t>
      </w:r>
      <w:r>
        <w:rPr>
          <w:color w:val="231F20"/>
          <w:spacing w:val="-27"/>
        </w:rPr>
        <w:t> </w:t>
      </w:r>
      <w:r>
        <w:rPr>
          <w:color w:val="231F20"/>
        </w:rPr>
        <w:t>need</w:t>
      </w:r>
      <w:r>
        <w:rPr>
          <w:color w:val="231F20"/>
          <w:spacing w:val="-26"/>
        </w:rPr>
        <w:t> </w:t>
      </w:r>
      <w:r>
        <w:rPr>
          <w:color w:val="231F20"/>
        </w:rPr>
        <w:t>for</w:t>
      </w:r>
      <w:r>
        <w:rPr>
          <w:color w:val="231F20"/>
          <w:spacing w:val="-27"/>
        </w:rPr>
        <w:t> </w:t>
      </w:r>
      <w:r>
        <w:rPr>
          <w:color w:val="231F20"/>
        </w:rPr>
        <w:t>the</w:t>
      </w:r>
      <w:r>
        <w:rPr>
          <w:color w:val="231F20"/>
          <w:spacing w:val="-26"/>
        </w:rPr>
        <w:t> </w:t>
      </w:r>
      <w:r>
        <w:rPr>
          <w:color w:val="231F20"/>
        </w:rPr>
        <w:t>intrusion and</w:t>
      </w:r>
      <w:r>
        <w:rPr>
          <w:color w:val="231F20"/>
          <w:spacing w:val="-23"/>
        </w:rPr>
        <w:t> </w:t>
      </w:r>
      <w:r>
        <w:rPr>
          <w:color w:val="231F20"/>
        </w:rPr>
        <w:t>found</w:t>
      </w:r>
      <w:r>
        <w:rPr>
          <w:color w:val="231F20"/>
          <w:spacing w:val="-21"/>
        </w:rPr>
        <w:t> </w:t>
      </w:r>
      <w:r>
        <w:rPr>
          <w:color w:val="231F20"/>
        </w:rPr>
        <w:t>that,</w:t>
      </w:r>
      <w:r>
        <w:rPr>
          <w:color w:val="231F20"/>
          <w:spacing w:val="-22"/>
        </w:rPr>
        <w:t> </w:t>
      </w:r>
      <w:r>
        <w:rPr>
          <w:color w:val="231F20"/>
        </w:rPr>
        <w:t>when</w:t>
      </w:r>
      <w:r>
        <w:rPr>
          <w:color w:val="231F20"/>
          <w:spacing w:val="-22"/>
        </w:rPr>
        <w:t> </w:t>
      </w:r>
      <w:r>
        <w:rPr>
          <w:color w:val="231F20"/>
        </w:rPr>
        <w:t>an</w:t>
      </w:r>
      <w:r>
        <w:rPr>
          <w:color w:val="231F20"/>
          <w:spacing w:val="-22"/>
        </w:rPr>
        <w:t> </w:t>
      </w:r>
      <w:r>
        <w:rPr>
          <w:color w:val="231F20"/>
        </w:rPr>
        <w:t>employee</w:t>
      </w:r>
      <w:r>
        <w:rPr>
          <w:color w:val="231F20"/>
          <w:spacing w:val="-22"/>
        </w:rPr>
        <w:t> </w:t>
      </w:r>
      <w:r>
        <w:rPr>
          <w:color w:val="231F20"/>
          <w:spacing w:val="-2"/>
        </w:rPr>
        <w:t>was </w:t>
      </w:r>
      <w:r>
        <w:rPr>
          <w:color w:val="231F20"/>
        </w:rPr>
        <w:t>engaged</w:t>
      </w:r>
      <w:r>
        <w:rPr>
          <w:color w:val="231F20"/>
          <w:spacing w:val="-29"/>
        </w:rPr>
        <w:t> </w:t>
      </w:r>
      <w:r>
        <w:rPr>
          <w:color w:val="231F20"/>
        </w:rPr>
        <w:t>in</w:t>
      </w:r>
      <w:r>
        <w:rPr>
          <w:color w:val="231F20"/>
          <w:spacing w:val="-28"/>
        </w:rPr>
        <w:t> </w:t>
      </w:r>
      <w:r>
        <w:rPr>
          <w:color w:val="231F20"/>
        </w:rPr>
        <w:t>drug</w:t>
      </w:r>
      <w:r>
        <w:rPr>
          <w:color w:val="231F20"/>
          <w:spacing w:val="-29"/>
        </w:rPr>
        <w:t> </w:t>
      </w:r>
      <w:r>
        <w:rPr>
          <w:color w:val="231F20"/>
        </w:rPr>
        <w:t>interdiction</w:t>
      </w:r>
      <w:r>
        <w:rPr>
          <w:color w:val="231F20"/>
          <w:spacing w:val="-28"/>
        </w:rPr>
        <w:t> </w:t>
      </w:r>
      <w:r>
        <w:rPr>
          <w:color w:val="231F20"/>
        </w:rPr>
        <w:t>or</w:t>
      </w:r>
      <w:r>
        <w:rPr>
          <w:color w:val="231F20"/>
          <w:spacing w:val="-29"/>
        </w:rPr>
        <w:t> </w:t>
      </w:r>
      <w:r>
        <w:rPr>
          <w:color w:val="231F20"/>
        </w:rPr>
        <w:t>required to carry a firearm, the government’s need</w:t>
      </w:r>
      <w:r>
        <w:rPr>
          <w:color w:val="231F20"/>
          <w:spacing w:val="-28"/>
        </w:rPr>
        <w:t> </w:t>
      </w:r>
      <w:r>
        <w:rPr>
          <w:color w:val="231F20"/>
        </w:rPr>
        <w:t>for</w:t>
      </w:r>
      <w:r>
        <w:rPr>
          <w:color w:val="231F20"/>
          <w:spacing w:val="-27"/>
        </w:rPr>
        <w:t> </w:t>
      </w:r>
      <w:r>
        <w:rPr>
          <w:color w:val="231F20"/>
        </w:rPr>
        <w:t>suspicionless</w:t>
      </w:r>
      <w:r>
        <w:rPr>
          <w:color w:val="231F20"/>
          <w:spacing w:val="-27"/>
        </w:rPr>
        <w:t> </w:t>
      </w:r>
      <w:r>
        <w:rPr>
          <w:color w:val="231F20"/>
        </w:rPr>
        <w:t>drug</w:t>
      </w:r>
      <w:r>
        <w:rPr>
          <w:color w:val="231F20"/>
          <w:spacing w:val="-27"/>
        </w:rPr>
        <w:t> </w:t>
      </w:r>
      <w:r>
        <w:rPr>
          <w:color w:val="231F20"/>
        </w:rPr>
        <w:t>testing</w:t>
      </w:r>
      <w:r>
        <w:rPr>
          <w:color w:val="231F20"/>
          <w:spacing w:val="-27"/>
        </w:rPr>
        <w:t> </w:t>
      </w:r>
      <w:r>
        <w:rPr>
          <w:color w:val="231F20"/>
          <w:spacing w:val="-2"/>
        </w:rPr>
        <w:t>was </w:t>
      </w:r>
      <w:r>
        <w:rPr>
          <w:color w:val="231F20"/>
        </w:rPr>
        <w:t>compelling. The Court concluded that employees who carry a firearm or are involved in drug interdiction have a di- minished</w:t>
      </w:r>
      <w:r>
        <w:rPr>
          <w:color w:val="231F20"/>
          <w:spacing w:val="-23"/>
        </w:rPr>
        <w:t> </w:t>
      </w:r>
      <w:r>
        <w:rPr>
          <w:color w:val="231F20"/>
          <w:spacing w:val="-3"/>
        </w:rPr>
        <w:t>expectation</w:t>
      </w:r>
      <w:r>
        <w:rPr>
          <w:color w:val="231F20"/>
          <w:spacing w:val="-23"/>
        </w:rPr>
        <w:t> </w:t>
      </w:r>
      <w:r>
        <w:rPr>
          <w:color w:val="231F20"/>
        </w:rPr>
        <w:t>of</w:t>
      </w:r>
      <w:r>
        <w:rPr>
          <w:color w:val="231F20"/>
          <w:spacing w:val="-23"/>
        </w:rPr>
        <w:t> </w:t>
      </w:r>
      <w:r>
        <w:rPr>
          <w:color w:val="231F20"/>
          <w:spacing w:val="-3"/>
        </w:rPr>
        <w:t>privacy</w:t>
      </w:r>
      <w:r>
        <w:rPr>
          <w:color w:val="231F20"/>
          <w:spacing w:val="-23"/>
        </w:rPr>
        <w:t> </w:t>
      </w:r>
      <w:r>
        <w:rPr>
          <w:color w:val="231F20"/>
        </w:rPr>
        <w:t>regard- ing inquiries into their fitness, </w:t>
      </w:r>
      <w:r>
        <w:rPr>
          <w:color w:val="231F20"/>
          <w:spacing w:val="-3"/>
        </w:rPr>
        <w:t>probity, </w:t>
      </w:r>
      <w:r>
        <w:rPr>
          <w:color w:val="231F20"/>
        </w:rPr>
        <w:t>judgment, and dexterity. As a result, the Court held that the government’s need for the intrusion outweighed the employee’s diminished expectation of </w:t>
      </w:r>
      <w:r>
        <w:rPr>
          <w:color w:val="231F20"/>
          <w:spacing w:val="-3"/>
        </w:rPr>
        <w:t>privacy.</w:t>
      </w:r>
      <w:r>
        <w:rPr>
          <w:color w:val="231F20"/>
          <w:spacing w:val="-20"/>
        </w:rPr>
        <w:t> </w:t>
      </w:r>
      <w:r>
        <w:rPr>
          <w:color w:val="231F20"/>
          <w:spacing w:val="-3"/>
        </w:rPr>
        <w:t>Notably,</w:t>
      </w:r>
      <w:r>
        <w:rPr>
          <w:color w:val="231F20"/>
          <w:spacing w:val="-19"/>
        </w:rPr>
        <w:t> </w:t>
      </w:r>
      <w:r>
        <w:rPr>
          <w:color w:val="231F20"/>
        </w:rPr>
        <w:t>Justice</w:t>
      </w:r>
      <w:r>
        <w:rPr>
          <w:color w:val="231F20"/>
          <w:spacing w:val="-30"/>
        </w:rPr>
        <w:t> </w:t>
      </w:r>
      <w:r>
        <w:rPr>
          <w:color w:val="231F20"/>
        </w:rPr>
        <w:t>Antonin</w:t>
      </w:r>
      <w:r>
        <w:rPr>
          <w:color w:val="231F20"/>
          <w:spacing w:val="-19"/>
        </w:rPr>
        <w:t> </w:t>
      </w:r>
      <w:r>
        <w:rPr>
          <w:color w:val="231F20"/>
        </w:rPr>
        <w:t>Scalia dissented, finding no compelling gov- ernment need for this bodily intrusion because the real purpose of the drug testing program, in his view, was to show</w:t>
      </w:r>
      <w:r>
        <w:rPr>
          <w:color w:val="231F20"/>
          <w:spacing w:val="-27"/>
        </w:rPr>
        <w:t> </w:t>
      </w:r>
      <w:r>
        <w:rPr>
          <w:color w:val="231F20"/>
        </w:rPr>
        <w:t>that</w:t>
      </w:r>
      <w:r>
        <w:rPr>
          <w:color w:val="231F20"/>
          <w:spacing w:val="-26"/>
        </w:rPr>
        <w:t> </w:t>
      </w:r>
      <w:r>
        <w:rPr>
          <w:color w:val="231F20"/>
        </w:rPr>
        <w:t>the</w:t>
      </w:r>
      <w:r>
        <w:rPr>
          <w:color w:val="231F20"/>
          <w:spacing w:val="-27"/>
        </w:rPr>
        <w:t> </w:t>
      </w:r>
      <w:r>
        <w:rPr>
          <w:color w:val="231F20"/>
        </w:rPr>
        <w:t>government</w:t>
      </w:r>
      <w:r>
        <w:rPr>
          <w:color w:val="231F20"/>
          <w:spacing w:val="-26"/>
        </w:rPr>
        <w:t> </w:t>
      </w:r>
      <w:r>
        <w:rPr>
          <w:color w:val="231F20"/>
        </w:rPr>
        <w:t>was</w:t>
      </w:r>
      <w:r>
        <w:rPr>
          <w:color w:val="231F20"/>
          <w:spacing w:val="-27"/>
        </w:rPr>
        <w:t> </w:t>
      </w:r>
      <w:r>
        <w:rPr>
          <w:color w:val="231F20"/>
        </w:rPr>
        <w:t>“serious about</w:t>
      </w:r>
      <w:r>
        <w:rPr>
          <w:color w:val="231F20"/>
          <w:spacing w:val="-14"/>
        </w:rPr>
        <w:t> </w:t>
      </w:r>
      <w:r>
        <w:rPr>
          <w:color w:val="231F20"/>
        </w:rPr>
        <w:t>its</w:t>
      </w:r>
      <w:r>
        <w:rPr>
          <w:color w:val="231F20"/>
          <w:spacing w:val="-14"/>
        </w:rPr>
        <w:t> </w:t>
      </w:r>
      <w:r>
        <w:rPr>
          <w:color w:val="231F20"/>
        </w:rPr>
        <w:t>‘war</w:t>
      </w:r>
      <w:r>
        <w:rPr>
          <w:color w:val="231F20"/>
          <w:spacing w:val="-14"/>
        </w:rPr>
        <w:t> </w:t>
      </w:r>
      <w:r>
        <w:rPr>
          <w:color w:val="231F20"/>
        </w:rPr>
        <w:t>on</w:t>
      </w:r>
      <w:r>
        <w:rPr>
          <w:color w:val="231F20"/>
          <w:spacing w:val="-14"/>
        </w:rPr>
        <w:t> </w:t>
      </w:r>
      <w:r>
        <w:rPr>
          <w:color w:val="231F20"/>
        </w:rPr>
        <w:t>drugs,’”</w:t>
      </w:r>
      <w:r>
        <w:rPr>
          <w:color w:val="231F20"/>
          <w:spacing w:val="-14"/>
        </w:rPr>
        <w:t> </w:t>
      </w:r>
      <w:r>
        <w:rPr>
          <w:color w:val="231F20"/>
        </w:rPr>
        <w:t>and</w:t>
      </w:r>
      <w:r>
        <w:rPr>
          <w:color w:val="231F20"/>
          <w:spacing w:val="-14"/>
        </w:rPr>
        <w:t> </w:t>
      </w:r>
      <w:r>
        <w:rPr>
          <w:color w:val="231F20"/>
        </w:rPr>
        <w:t>therefore the justification for the program was merely symbolic.</w:t>
      </w:r>
      <w:r>
        <w:rPr>
          <w:color w:val="231F20"/>
          <w:position w:val="7"/>
          <w:sz w:val="12"/>
        </w:rPr>
        <w:t>3</w:t>
      </w:r>
    </w:p>
    <w:p>
      <w:pPr>
        <w:pStyle w:val="BodyText"/>
        <w:spacing w:line="254" w:lineRule="auto" w:before="9"/>
        <w:ind w:left="120" w:right="38" w:firstLine="180"/>
        <w:jc w:val="both"/>
      </w:pPr>
      <w:r>
        <w:rPr>
          <w:color w:val="231F20"/>
          <w:spacing w:val="2"/>
        </w:rPr>
        <w:t>Eight years </w:t>
      </w:r>
      <w:r>
        <w:rPr>
          <w:color w:val="231F20"/>
        </w:rPr>
        <w:t>later, the </w:t>
      </w:r>
      <w:r>
        <w:rPr>
          <w:color w:val="231F20"/>
          <w:spacing w:val="2"/>
        </w:rPr>
        <w:t>Court again </w:t>
      </w:r>
      <w:r>
        <w:rPr>
          <w:color w:val="231F20"/>
        </w:rPr>
        <w:t>addressed the issue of drug testing.</w:t>
      </w:r>
      <w:r>
        <w:rPr>
          <w:color w:val="231F20"/>
          <w:position w:val="7"/>
          <w:sz w:val="12"/>
        </w:rPr>
        <w:t>4 </w:t>
      </w:r>
      <w:r>
        <w:rPr>
          <w:color w:val="231F20"/>
          <w:spacing w:val="2"/>
        </w:rPr>
        <w:t>This time, </w:t>
      </w:r>
      <w:r>
        <w:rPr>
          <w:color w:val="231F20"/>
        </w:rPr>
        <w:t>however, </w:t>
      </w:r>
      <w:r>
        <w:rPr>
          <w:color w:val="231F20"/>
          <w:spacing w:val="2"/>
        </w:rPr>
        <w:t>Justice Scalia’s symbolism argument prevailed, </w:t>
      </w:r>
      <w:r>
        <w:rPr>
          <w:color w:val="231F20"/>
          <w:spacing w:val="3"/>
        </w:rPr>
        <w:t>and </w:t>
      </w:r>
      <w:r>
        <w:rPr>
          <w:color w:val="231F20"/>
          <w:spacing w:val="4"/>
        </w:rPr>
        <w:t>the Court </w:t>
      </w:r>
      <w:r>
        <w:rPr>
          <w:color w:val="231F20"/>
          <w:spacing w:val="5"/>
        </w:rPr>
        <w:t>rejected mandatory </w:t>
      </w:r>
      <w:r>
        <w:rPr>
          <w:color w:val="231F20"/>
          <w:spacing w:val="6"/>
        </w:rPr>
        <w:t>drug</w:t>
      </w:r>
      <w:r>
        <w:rPr>
          <w:color w:val="231F20"/>
          <w:spacing w:val="67"/>
        </w:rPr>
        <w:t> </w:t>
      </w:r>
      <w:r>
        <w:rPr>
          <w:color w:val="231F20"/>
        </w:rPr>
        <w:t>testing of all candidates for public of- fice.</w:t>
      </w:r>
      <w:r>
        <w:rPr>
          <w:color w:val="231F20"/>
          <w:spacing w:val="-28"/>
        </w:rPr>
        <w:t> </w:t>
      </w:r>
      <w:r>
        <w:rPr>
          <w:color w:val="231F20"/>
        </w:rPr>
        <w:t>In</w:t>
      </w:r>
      <w:r>
        <w:rPr>
          <w:color w:val="231F20"/>
          <w:spacing w:val="-27"/>
        </w:rPr>
        <w:t> </w:t>
      </w:r>
      <w:r>
        <w:rPr>
          <w:color w:val="231F20"/>
        </w:rPr>
        <w:t>concluding</w:t>
      </w:r>
      <w:r>
        <w:rPr>
          <w:color w:val="231F20"/>
          <w:spacing w:val="-28"/>
        </w:rPr>
        <w:t> </w:t>
      </w:r>
      <w:r>
        <w:rPr>
          <w:color w:val="231F20"/>
        </w:rPr>
        <w:t>that</w:t>
      </w:r>
      <w:r>
        <w:rPr>
          <w:color w:val="231F20"/>
          <w:spacing w:val="-27"/>
        </w:rPr>
        <w:t> </w:t>
      </w:r>
      <w:r>
        <w:rPr>
          <w:color w:val="231F20"/>
        </w:rPr>
        <w:t>this</w:t>
      </w:r>
      <w:r>
        <w:rPr>
          <w:color w:val="231F20"/>
          <w:spacing w:val="-28"/>
        </w:rPr>
        <w:t> </w:t>
      </w:r>
      <w:r>
        <w:rPr>
          <w:color w:val="231F20"/>
        </w:rPr>
        <w:t>requirement was not reasonable under the Fourth Amendment,</w:t>
      </w:r>
      <w:r>
        <w:rPr>
          <w:color w:val="231F20"/>
          <w:spacing w:val="-23"/>
        </w:rPr>
        <w:t> </w:t>
      </w:r>
      <w:r>
        <w:rPr>
          <w:color w:val="231F20"/>
        </w:rPr>
        <w:t>the</w:t>
      </w:r>
      <w:r>
        <w:rPr>
          <w:color w:val="231F20"/>
          <w:spacing w:val="-21"/>
        </w:rPr>
        <w:t> </w:t>
      </w:r>
      <w:r>
        <w:rPr>
          <w:color w:val="231F20"/>
        </w:rPr>
        <w:t>Court</w:t>
      </w:r>
      <w:r>
        <w:rPr>
          <w:color w:val="231F20"/>
          <w:spacing w:val="-22"/>
        </w:rPr>
        <w:t> </w:t>
      </w:r>
      <w:r>
        <w:rPr>
          <w:color w:val="231F20"/>
        </w:rPr>
        <w:t>explained:</w:t>
      </w:r>
      <w:r>
        <w:rPr>
          <w:color w:val="231F20"/>
          <w:spacing w:val="-22"/>
        </w:rPr>
        <w:t> </w:t>
      </w:r>
      <w:r>
        <w:rPr>
          <w:color w:val="231F20"/>
        </w:rPr>
        <w:t>“Our precedents</w:t>
      </w:r>
      <w:r>
        <w:rPr>
          <w:color w:val="231F20"/>
          <w:spacing w:val="-19"/>
        </w:rPr>
        <w:t> </w:t>
      </w:r>
      <w:r>
        <w:rPr>
          <w:color w:val="231F20"/>
        </w:rPr>
        <w:t>establish</w:t>
      </w:r>
      <w:r>
        <w:rPr>
          <w:color w:val="231F20"/>
          <w:spacing w:val="-18"/>
        </w:rPr>
        <w:t> </w:t>
      </w:r>
      <w:r>
        <w:rPr>
          <w:color w:val="231F20"/>
        </w:rPr>
        <w:t>that</w:t>
      </w:r>
      <w:r>
        <w:rPr>
          <w:color w:val="231F20"/>
          <w:spacing w:val="-18"/>
        </w:rPr>
        <w:t> </w:t>
      </w:r>
      <w:r>
        <w:rPr>
          <w:color w:val="231F20"/>
        </w:rPr>
        <w:t>the</w:t>
      </w:r>
      <w:r>
        <w:rPr>
          <w:color w:val="231F20"/>
          <w:spacing w:val="-18"/>
        </w:rPr>
        <w:t> </w:t>
      </w:r>
      <w:r>
        <w:rPr>
          <w:color w:val="231F20"/>
        </w:rPr>
        <w:t>proffered </w:t>
      </w:r>
      <w:r>
        <w:rPr>
          <w:color w:val="231F20"/>
          <w:spacing w:val="5"/>
        </w:rPr>
        <w:t>special </w:t>
      </w:r>
      <w:r>
        <w:rPr>
          <w:color w:val="231F20"/>
          <w:spacing w:val="4"/>
        </w:rPr>
        <w:t>need for drug </w:t>
      </w:r>
      <w:r>
        <w:rPr>
          <w:color w:val="231F20"/>
          <w:spacing w:val="5"/>
        </w:rPr>
        <w:t>testing </w:t>
      </w:r>
      <w:r>
        <w:rPr>
          <w:color w:val="231F20"/>
          <w:spacing w:val="6"/>
        </w:rPr>
        <w:t>must </w:t>
      </w:r>
      <w:r>
        <w:rPr>
          <w:color w:val="231F20"/>
        </w:rPr>
        <w:t>be substantial—important enough to override</w:t>
      </w:r>
      <w:r>
        <w:rPr>
          <w:color w:val="231F20"/>
          <w:spacing w:val="-25"/>
        </w:rPr>
        <w:t> </w:t>
      </w:r>
      <w:r>
        <w:rPr>
          <w:color w:val="231F20"/>
        </w:rPr>
        <w:t>the</w:t>
      </w:r>
      <w:r>
        <w:rPr>
          <w:color w:val="231F20"/>
          <w:spacing w:val="-25"/>
        </w:rPr>
        <w:t> </w:t>
      </w:r>
      <w:r>
        <w:rPr>
          <w:color w:val="231F20"/>
        </w:rPr>
        <w:t>individual’s</w:t>
      </w:r>
      <w:r>
        <w:rPr>
          <w:color w:val="231F20"/>
          <w:spacing w:val="-25"/>
        </w:rPr>
        <w:t> </w:t>
      </w:r>
      <w:r>
        <w:rPr>
          <w:color w:val="231F20"/>
        </w:rPr>
        <w:t>acknowledged </w:t>
      </w:r>
      <w:r>
        <w:rPr>
          <w:color w:val="231F20"/>
          <w:spacing w:val="4"/>
        </w:rPr>
        <w:t>privacy interest, </w:t>
      </w:r>
      <w:r>
        <w:rPr>
          <w:color w:val="231F20"/>
          <w:spacing w:val="5"/>
        </w:rPr>
        <w:t>sufficiently </w:t>
      </w:r>
      <w:r>
        <w:rPr>
          <w:color w:val="231F20"/>
          <w:spacing w:val="4"/>
        </w:rPr>
        <w:t>vital </w:t>
      </w:r>
      <w:r>
        <w:rPr>
          <w:color w:val="231F20"/>
          <w:spacing w:val="6"/>
        </w:rPr>
        <w:t>to</w:t>
      </w:r>
      <w:r>
        <w:rPr>
          <w:color w:val="231F20"/>
          <w:spacing w:val="67"/>
        </w:rPr>
        <w:t> </w:t>
      </w:r>
      <w:r>
        <w:rPr>
          <w:color w:val="231F20"/>
          <w:spacing w:val="6"/>
        </w:rPr>
        <w:t>suppress </w:t>
      </w:r>
      <w:r>
        <w:rPr>
          <w:color w:val="231F20"/>
          <w:spacing w:val="4"/>
        </w:rPr>
        <w:t>the </w:t>
      </w:r>
      <w:r>
        <w:rPr>
          <w:color w:val="231F20"/>
          <w:spacing w:val="5"/>
        </w:rPr>
        <w:t>Fourth </w:t>
      </w:r>
      <w:r>
        <w:rPr>
          <w:color w:val="231F20"/>
          <w:spacing w:val="6"/>
        </w:rPr>
        <w:t>Amendment’s </w:t>
      </w:r>
      <w:r>
        <w:rPr>
          <w:color w:val="231F20"/>
        </w:rPr>
        <w:t>normal requirement of individualized suspicion.”</w:t>
      </w:r>
      <w:r>
        <w:rPr>
          <w:color w:val="231F20"/>
          <w:position w:val="7"/>
          <w:sz w:val="12"/>
        </w:rPr>
        <w:t>5 </w:t>
      </w:r>
      <w:r>
        <w:rPr>
          <w:color w:val="231F20"/>
        </w:rPr>
        <w:t>The Court held that</w:t>
      </w:r>
      <w:r>
        <w:rPr>
          <w:color w:val="231F20"/>
          <w:spacing w:val="-8"/>
        </w:rPr>
        <w:t> </w:t>
      </w:r>
      <w:r>
        <w:rPr>
          <w:color w:val="231F20"/>
          <w:spacing w:val="2"/>
        </w:rPr>
        <w:t>the</w:t>
      </w:r>
    </w:p>
    <w:p>
      <w:pPr>
        <w:pStyle w:val="BodyText"/>
        <w:spacing w:line="254" w:lineRule="auto" w:before="83"/>
        <w:ind w:left="119" w:right="43"/>
        <w:jc w:val="both"/>
      </w:pPr>
      <w:r>
        <w:rPr/>
        <w:br w:type="column"/>
      </w:r>
      <w:r>
        <w:rPr>
          <w:color w:val="231F20"/>
        </w:rPr>
        <w:t>government</w:t>
      </w:r>
      <w:r>
        <w:rPr>
          <w:color w:val="231F20"/>
          <w:spacing w:val="-32"/>
        </w:rPr>
        <w:t> </w:t>
      </w:r>
      <w:r>
        <w:rPr>
          <w:color w:val="231F20"/>
        </w:rPr>
        <w:t>failed</w:t>
      </w:r>
      <w:r>
        <w:rPr>
          <w:color w:val="231F20"/>
          <w:spacing w:val="-31"/>
        </w:rPr>
        <w:t> </w:t>
      </w:r>
      <w:r>
        <w:rPr>
          <w:color w:val="231F20"/>
        </w:rPr>
        <w:t>to</w:t>
      </w:r>
      <w:r>
        <w:rPr>
          <w:color w:val="231F20"/>
          <w:spacing w:val="-31"/>
        </w:rPr>
        <w:t> </w:t>
      </w:r>
      <w:r>
        <w:rPr>
          <w:color w:val="231F20"/>
        </w:rPr>
        <w:t>establish</w:t>
      </w:r>
      <w:r>
        <w:rPr>
          <w:color w:val="231F20"/>
          <w:spacing w:val="-32"/>
        </w:rPr>
        <w:t> </w:t>
      </w:r>
      <w:r>
        <w:rPr>
          <w:color w:val="231F20"/>
        </w:rPr>
        <w:t>concrete evidence of a special need for drug testing to allow suspicionless testing, noting that there was no evidence of</w:t>
      </w:r>
      <w:r>
        <w:rPr>
          <w:color w:val="231F20"/>
          <w:spacing w:val="-36"/>
        </w:rPr>
        <w:t> </w:t>
      </w:r>
      <w:r>
        <w:rPr>
          <w:color w:val="231F20"/>
        </w:rPr>
        <w:t>a drug</w:t>
      </w:r>
      <w:r>
        <w:rPr>
          <w:color w:val="231F20"/>
          <w:spacing w:val="-12"/>
        </w:rPr>
        <w:t> </w:t>
      </w:r>
      <w:r>
        <w:rPr>
          <w:color w:val="231F20"/>
        </w:rPr>
        <w:t>abuse</w:t>
      </w:r>
      <w:r>
        <w:rPr>
          <w:color w:val="231F20"/>
          <w:spacing w:val="-11"/>
        </w:rPr>
        <w:t> </w:t>
      </w:r>
      <w:r>
        <w:rPr>
          <w:color w:val="231F20"/>
        </w:rPr>
        <w:t>problem</w:t>
      </w:r>
      <w:r>
        <w:rPr>
          <w:color w:val="231F20"/>
          <w:spacing w:val="-11"/>
        </w:rPr>
        <w:t> </w:t>
      </w:r>
      <w:r>
        <w:rPr>
          <w:color w:val="231F20"/>
        </w:rPr>
        <w:t>or</w:t>
      </w:r>
      <w:r>
        <w:rPr>
          <w:color w:val="231F20"/>
          <w:spacing w:val="-11"/>
        </w:rPr>
        <w:t> </w:t>
      </w:r>
      <w:r>
        <w:rPr>
          <w:color w:val="231F20"/>
        </w:rPr>
        <w:t>that</w:t>
      </w:r>
      <w:r>
        <w:rPr>
          <w:color w:val="231F20"/>
          <w:spacing w:val="-11"/>
        </w:rPr>
        <w:t> </w:t>
      </w:r>
      <w:r>
        <w:rPr>
          <w:color w:val="231F20"/>
        </w:rPr>
        <w:t>this</w:t>
      </w:r>
      <w:r>
        <w:rPr>
          <w:color w:val="231F20"/>
          <w:spacing w:val="-11"/>
        </w:rPr>
        <w:t> </w:t>
      </w:r>
      <w:r>
        <w:rPr>
          <w:color w:val="231F20"/>
        </w:rPr>
        <w:t>testing would effectively identify drug users. Instead, the evidence showed that</w:t>
      </w:r>
      <w:r>
        <w:rPr>
          <w:color w:val="231F20"/>
          <w:spacing w:val="-17"/>
        </w:rPr>
        <w:t> </w:t>
      </w:r>
      <w:r>
        <w:rPr>
          <w:color w:val="231F20"/>
        </w:rPr>
        <w:t>the purpose was symbolic—to protect the image of the state—and was insuffi- cient to justify a suspicionless search. The Court reiterated the standard for suspicionless testing:</w:t>
      </w:r>
    </w:p>
    <w:p>
      <w:pPr>
        <w:spacing w:line="259" w:lineRule="auto" w:before="118"/>
        <w:ind w:left="359" w:right="276" w:hanging="20"/>
        <w:jc w:val="both"/>
        <w:rPr>
          <w:sz w:val="12"/>
        </w:rPr>
      </w:pPr>
      <w:r>
        <w:rPr>
          <w:color w:val="231F20"/>
          <w:sz w:val="18"/>
        </w:rPr>
        <w:t>[W]here the risk to public safety is substantial and real, blanket suspi- cionless searches calibrated to the risk may rank as “reasonable”—for example, searches now routine at airports and at entrances to courts </w:t>
      </w:r>
      <w:r>
        <w:rPr>
          <w:color w:val="231F20"/>
          <w:spacing w:val="6"/>
          <w:sz w:val="18"/>
        </w:rPr>
        <w:t>and </w:t>
      </w:r>
      <w:r>
        <w:rPr>
          <w:color w:val="231F20"/>
          <w:spacing w:val="8"/>
          <w:sz w:val="18"/>
        </w:rPr>
        <w:t>other official </w:t>
      </w:r>
      <w:r>
        <w:rPr>
          <w:color w:val="231F20"/>
          <w:spacing w:val="9"/>
          <w:sz w:val="18"/>
        </w:rPr>
        <w:t>buildings. </w:t>
      </w:r>
      <w:r>
        <w:rPr>
          <w:color w:val="231F20"/>
          <w:spacing w:val="10"/>
          <w:sz w:val="18"/>
        </w:rPr>
        <w:t>But </w:t>
      </w:r>
      <w:r>
        <w:rPr>
          <w:color w:val="231F20"/>
          <w:sz w:val="18"/>
        </w:rPr>
        <w:t>where, as in this case, public safety </w:t>
      </w:r>
      <w:r>
        <w:rPr>
          <w:color w:val="231F20"/>
          <w:spacing w:val="3"/>
          <w:sz w:val="18"/>
        </w:rPr>
        <w:t>is </w:t>
      </w:r>
      <w:r>
        <w:rPr>
          <w:color w:val="231F20"/>
          <w:spacing w:val="4"/>
          <w:sz w:val="18"/>
        </w:rPr>
        <w:t>not </w:t>
      </w:r>
      <w:r>
        <w:rPr>
          <w:color w:val="231F20"/>
          <w:spacing w:val="6"/>
          <w:sz w:val="18"/>
        </w:rPr>
        <w:t>genuinely </w:t>
      </w:r>
      <w:r>
        <w:rPr>
          <w:color w:val="231F20"/>
          <w:spacing w:val="3"/>
          <w:sz w:val="18"/>
        </w:rPr>
        <w:t>in </w:t>
      </w:r>
      <w:r>
        <w:rPr>
          <w:color w:val="231F20"/>
          <w:spacing w:val="4"/>
          <w:sz w:val="18"/>
        </w:rPr>
        <w:t>jeopardy, </w:t>
      </w:r>
      <w:r>
        <w:rPr>
          <w:color w:val="231F20"/>
          <w:spacing w:val="7"/>
          <w:sz w:val="18"/>
        </w:rPr>
        <w:t>the </w:t>
      </w:r>
      <w:r>
        <w:rPr>
          <w:color w:val="231F20"/>
          <w:spacing w:val="3"/>
          <w:sz w:val="18"/>
        </w:rPr>
        <w:t>Fourth </w:t>
      </w:r>
      <w:r>
        <w:rPr>
          <w:color w:val="231F20"/>
          <w:spacing w:val="4"/>
          <w:sz w:val="18"/>
        </w:rPr>
        <w:t>Amendment precludes the </w:t>
      </w:r>
      <w:r>
        <w:rPr>
          <w:color w:val="231F20"/>
          <w:sz w:val="18"/>
        </w:rPr>
        <w:t>suspicionless search, no matter</w:t>
      </w:r>
      <w:r>
        <w:rPr>
          <w:color w:val="231F20"/>
          <w:spacing w:val="-28"/>
          <w:sz w:val="18"/>
        </w:rPr>
        <w:t> </w:t>
      </w:r>
      <w:r>
        <w:rPr>
          <w:color w:val="231F20"/>
          <w:sz w:val="18"/>
        </w:rPr>
        <w:t>how conveniently</w:t>
      </w:r>
      <w:r>
        <w:rPr>
          <w:color w:val="231F20"/>
          <w:spacing w:val="-1"/>
          <w:sz w:val="18"/>
        </w:rPr>
        <w:t> </w:t>
      </w:r>
      <w:r>
        <w:rPr>
          <w:color w:val="231F20"/>
          <w:sz w:val="18"/>
        </w:rPr>
        <w:t>arranged.</w:t>
      </w:r>
      <w:r>
        <w:rPr>
          <w:color w:val="231F20"/>
          <w:position w:val="7"/>
          <w:sz w:val="12"/>
        </w:rPr>
        <w:t>6</w:t>
      </w:r>
    </w:p>
    <w:p>
      <w:pPr>
        <w:pStyle w:val="BodyText"/>
        <w:spacing w:line="254" w:lineRule="auto" w:before="129"/>
        <w:ind w:left="119" w:right="38" w:firstLine="180"/>
        <w:jc w:val="both"/>
      </w:pPr>
      <w:r>
        <w:rPr>
          <w:color w:val="231F20"/>
          <w:spacing w:val="3"/>
        </w:rPr>
        <w:t>Fast </w:t>
      </w:r>
      <w:r>
        <w:rPr>
          <w:color w:val="231F20"/>
          <w:spacing w:val="4"/>
        </w:rPr>
        <w:t>forward </w:t>
      </w:r>
      <w:r>
        <w:rPr>
          <w:color w:val="231F20"/>
          <w:spacing w:val="2"/>
        </w:rPr>
        <w:t>to </w:t>
      </w:r>
      <w:r>
        <w:rPr>
          <w:color w:val="231F20"/>
          <w:spacing w:val="3"/>
        </w:rPr>
        <w:t>2013 </w:t>
      </w:r>
      <w:r>
        <w:rPr>
          <w:color w:val="231F20"/>
          <w:spacing w:val="4"/>
        </w:rPr>
        <w:t>when, </w:t>
      </w:r>
      <w:r>
        <w:rPr>
          <w:color w:val="231F20"/>
          <w:spacing w:val="2"/>
        </w:rPr>
        <w:t>as </w:t>
      </w:r>
      <w:r>
        <w:rPr>
          <w:color w:val="231F20"/>
        </w:rPr>
        <w:t>a result of Florida Governor Rick Scott’s order</w:t>
      </w:r>
      <w:r>
        <w:rPr>
          <w:color w:val="231F20"/>
          <w:spacing w:val="-23"/>
        </w:rPr>
        <w:t> </w:t>
      </w:r>
      <w:r>
        <w:rPr>
          <w:color w:val="231F20"/>
        </w:rPr>
        <w:t>requiring</w:t>
      </w:r>
      <w:r>
        <w:rPr>
          <w:color w:val="231F20"/>
          <w:spacing w:val="-23"/>
        </w:rPr>
        <w:t> </w:t>
      </w:r>
      <w:r>
        <w:rPr>
          <w:color w:val="231F20"/>
        </w:rPr>
        <w:t>suspicionless</w:t>
      </w:r>
      <w:r>
        <w:rPr>
          <w:color w:val="231F20"/>
          <w:spacing w:val="-23"/>
        </w:rPr>
        <w:t> </w:t>
      </w:r>
      <w:r>
        <w:rPr>
          <w:color w:val="231F20"/>
        </w:rPr>
        <w:t>drug</w:t>
      </w:r>
      <w:r>
        <w:rPr>
          <w:color w:val="231F20"/>
          <w:spacing w:val="-23"/>
        </w:rPr>
        <w:t> </w:t>
      </w:r>
      <w:r>
        <w:rPr>
          <w:color w:val="231F20"/>
        </w:rPr>
        <w:t>test- ing of all applicants for state employ- ment and random drug testing of all state employees, the Eleventh Circuit addressed the issue of suspicionless </w:t>
      </w:r>
      <w:r>
        <w:rPr>
          <w:color w:val="231F20"/>
          <w:spacing w:val="5"/>
        </w:rPr>
        <w:t>drug </w:t>
      </w:r>
      <w:r>
        <w:rPr>
          <w:color w:val="231F20"/>
          <w:spacing w:val="6"/>
        </w:rPr>
        <w:t>testing </w:t>
      </w:r>
      <w:r>
        <w:rPr>
          <w:color w:val="231F20"/>
          <w:spacing w:val="3"/>
        </w:rPr>
        <w:t>of </w:t>
      </w:r>
      <w:r>
        <w:rPr>
          <w:color w:val="231F20"/>
          <w:spacing w:val="5"/>
        </w:rPr>
        <w:t>public </w:t>
      </w:r>
      <w:r>
        <w:rPr>
          <w:color w:val="231F20"/>
          <w:spacing w:val="6"/>
        </w:rPr>
        <w:t>employees.</w:t>
      </w:r>
      <w:r>
        <w:rPr>
          <w:color w:val="231F20"/>
          <w:spacing w:val="6"/>
          <w:position w:val="7"/>
          <w:sz w:val="12"/>
        </w:rPr>
        <w:t>7 </w:t>
      </w:r>
      <w:r>
        <w:rPr>
          <w:color w:val="231F20"/>
          <w:spacing w:val="5"/>
        </w:rPr>
        <w:t>The </w:t>
      </w:r>
      <w:r>
        <w:rPr>
          <w:color w:val="231F20"/>
          <w:spacing w:val="7"/>
        </w:rPr>
        <w:t>Eleventh </w:t>
      </w:r>
      <w:r>
        <w:rPr>
          <w:color w:val="231F20"/>
          <w:spacing w:val="6"/>
        </w:rPr>
        <w:t>Circuit </w:t>
      </w:r>
      <w:r>
        <w:rPr>
          <w:color w:val="231F20"/>
          <w:spacing w:val="5"/>
        </w:rPr>
        <w:t>held </w:t>
      </w:r>
      <w:r>
        <w:rPr>
          <w:color w:val="231F20"/>
          <w:spacing w:val="6"/>
        </w:rPr>
        <w:t>that </w:t>
      </w:r>
      <w:r>
        <w:rPr>
          <w:color w:val="231F20"/>
          <w:spacing w:val="8"/>
        </w:rPr>
        <w:t>the </w:t>
      </w:r>
      <w:r>
        <w:rPr>
          <w:color w:val="231F20"/>
        </w:rPr>
        <w:t>state failed to show a special need to drug test all state employees and ap- plicants. At the same time, however, the</w:t>
      </w:r>
      <w:r>
        <w:rPr>
          <w:color w:val="231F20"/>
          <w:spacing w:val="-15"/>
        </w:rPr>
        <w:t> </w:t>
      </w:r>
      <w:r>
        <w:rPr>
          <w:color w:val="231F20"/>
        </w:rPr>
        <w:t>Eleventh</w:t>
      </w:r>
      <w:r>
        <w:rPr>
          <w:color w:val="231F20"/>
          <w:spacing w:val="-14"/>
        </w:rPr>
        <w:t> </w:t>
      </w:r>
      <w:r>
        <w:rPr>
          <w:color w:val="231F20"/>
        </w:rPr>
        <w:t>Circuit</w:t>
      </w:r>
      <w:r>
        <w:rPr>
          <w:color w:val="231F20"/>
          <w:spacing w:val="-14"/>
        </w:rPr>
        <w:t> </w:t>
      </w:r>
      <w:r>
        <w:rPr>
          <w:color w:val="231F20"/>
        </w:rPr>
        <w:t>concluded</w:t>
      </w:r>
      <w:r>
        <w:rPr>
          <w:color w:val="231F20"/>
          <w:spacing w:val="-14"/>
        </w:rPr>
        <w:t> </w:t>
      </w:r>
      <w:r>
        <w:rPr>
          <w:color w:val="231F20"/>
        </w:rPr>
        <w:t>that</w:t>
      </w:r>
      <w:r>
        <w:rPr>
          <w:color w:val="231F20"/>
          <w:spacing w:val="-14"/>
        </w:rPr>
        <w:t> </w:t>
      </w:r>
      <w:r>
        <w:rPr>
          <w:color w:val="231F20"/>
        </w:rPr>
        <w:t>the district court’s injunction prohibiting all suspicionless testing was overbroad </w:t>
      </w:r>
      <w:r>
        <w:rPr>
          <w:color w:val="231F20"/>
          <w:spacing w:val="3"/>
        </w:rPr>
        <w:t>because employees holding </w:t>
      </w:r>
      <w:r>
        <w:rPr>
          <w:color w:val="231F20"/>
          <w:spacing w:val="4"/>
        </w:rPr>
        <w:t>certain </w:t>
      </w:r>
      <w:r>
        <w:rPr>
          <w:color w:val="231F20"/>
        </w:rPr>
        <w:t>safety-sensitive</w:t>
      </w:r>
      <w:r>
        <w:rPr>
          <w:color w:val="231F20"/>
          <w:spacing w:val="-26"/>
        </w:rPr>
        <w:t> </w:t>
      </w:r>
      <w:r>
        <w:rPr>
          <w:color w:val="231F20"/>
          <w:spacing w:val="-3"/>
        </w:rPr>
        <w:t>positions</w:t>
      </w:r>
      <w:r>
        <w:rPr>
          <w:color w:val="231F20"/>
          <w:spacing w:val="-27"/>
        </w:rPr>
        <w:t> </w:t>
      </w:r>
      <w:r>
        <w:rPr>
          <w:color w:val="231F20"/>
        </w:rPr>
        <w:t>or</w:t>
      </w:r>
      <w:r>
        <w:rPr>
          <w:color w:val="231F20"/>
          <w:spacing w:val="-27"/>
        </w:rPr>
        <w:t> </w:t>
      </w:r>
      <w:r>
        <w:rPr>
          <w:color w:val="231F20"/>
          <w:spacing w:val="-3"/>
        </w:rPr>
        <w:t>employees </w:t>
      </w:r>
      <w:r>
        <w:rPr>
          <w:color w:val="231F20"/>
        </w:rPr>
        <w:t>engaged</w:t>
      </w:r>
      <w:r>
        <w:rPr>
          <w:color w:val="231F20"/>
          <w:spacing w:val="-32"/>
        </w:rPr>
        <w:t> </w:t>
      </w:r>
      <w:r>
        <w:rPr>
          <w:color w:val="231F20"/>
        </w:rPr>
        <w:t>in</w:t>
      </w:r>
      <w:r>
        <w:rPr>
          <w:color w:val="231F20"/>
          <w:spacing w:val="-31"/>
        </w:rPr>
        <w:t> </w:t>
      </w:r>
      <w:r>
        <w:rPr>
          <w:color w:val="231F20"/>
        </w:rPr>
        <w:t>safety-sensitive</w:t>
      </w:r>
      <w:r>
        <w:rPr>
          <w:color w:val="231F20"/>
          <w:spacing w:val="-31"/>
        </w:rPr>
        <w:t> </w:t>
      </w:r>
      <w:r>
        <w:rPr>
          <w:color w:val="231F20"/>
        </w:rPr>
        <w:t>tasks</w:t>
      </w:r>
      <w:r>
        <w:rPr>
          <w:color w:val="231F20"/>
          <w:spacing w:val="-31"/>
        </w:rPr>
        <w:t> </w:t>
      </w:r>
      <w:r>
        <w:rPr>
          <w:color w:val="231F20"/>
        </w:rPr>
        <w:t>could be subject to such</w:t>
      </w:r>
      <w:r>
        <w:rPr>
          <w:color w:val="231F20"/>
          <w:spacing w:val="-2"/>
        </w:rPr>
        <w:t> </w:t>
      </w:r>
      <w:r>
        <w:rPr>
          <w:color w:val="231F20"/>
        </w:rPr>
        <w:t>testing.</w:t>
      </w:r>
    </w:p>
    <w:p>
      <w:pPr>
        <w:pStyle w:val="BodyText"/>
        <w:spacing w:line="254" w:lineRule="auto"/>
        <w:ind w:left="119" w:right="38" w:firstLine="180"/>
        <w:jc w:val="both"/>
      </w:pPr>
      <w:r>
        <w:rPr>
          <w:color w:val="231F20"/>
          <w:spacing w:val="-12"/>
        </w:rPr>
        <w:t>To </w:t>
      </w:r>
      <w:r>
        <w:rPr>
          <w:color w:val="231F20"/>
        </w:rPr>
        <w:t>provide additional guidance, the court identified the following</w:t>
      </w:r>
      <w:r>
        <w:rPr>
          <w:color w:val="231F20"/>
          <w:spacing w:val="-35"/>
        </w:rPr>
        <w:t> </w:t>
      </w:r>
      <w:r>
        <w:rPr>
          <w:color w:val="231F20"/>
        </w:rPr>
        <w:t>examples of positions that could be subject to suspicionless drug testing: employees who</w:t>
      </w:r>
      <w:r>
        <w:rPr>
          <w:color w:val="231F20"/>
          <w:spacing w:val="-20"/>
        </w:rPr>
        <w:t> </w:t>
      </w:r>
      <w:r>
        <w:rPr>
          <w:color w:val="231F20"/>
        </w:rPr>
        <w:t>carry</w:t>
      </w:r>
      <w:r>
        <w:rPr>
          <w:color w:val="231F20"/>
          <w:spacing w:val="-20"/>
        </w:rPr>
        <w:t> </w:t>
      </w:r>
      <w:r>
        <w:rPr>
          <w:color w:val="231F20"/>
        </w:rPr>
        <w:t>firearms;</w:t>
      </w:r>
      <w:r>
        <w:rPr>
          <w:color w:val="231F20"/>
          <w:spacing w:val="-19"/>
        </w:rPr>
        <w:t> </w:t>
      </w:r>
      <w:r>
        <w:rPr>
          <w:color w:val="231F20"/>
        </w:rPr>
        <w:t>sworn</w:t>
      </w:r>
      <w:r>
        <w:rPr>
          <w:color w:val="231F20"/>
          <w:spacing w:val="-20"/>
        </w:rPr>
        <w:t> </w:t>
      </w:r>
      <w:r>
        <w:rPr>
          <w:color w:val="231F20"/>
        </w:rPr>
        <w:t>law</w:t>
      </w:r>
      <w:r>
        <w:rPr>
          <w:color w:val="231F20"/>
          <w:spacing w:val="-19"/>
        </w:rPr>
        <w:t> </w:t>
      </w:r>
      <w:r>
        <w:rPr>
          <w:color w:val="231F20"/>
        </w:rPr>
        <w:t>enforce- </w:t>
      </w:r>
      <w:r>
        <w:rPr>
          <w:color w:val="231F20"/>
          <w:spacing w:val="6"/>
        </w:rPr>
        <w:t>ment officers; </w:t>
      </w:r>
      <w:r>
        <w:rPr>
          <w:color w:val="231F20"/>
          <w:spacing w:val="7"/>
        </w:rPr>
        <w:t>correctional officers </w:t>
      </w:r>
      <w:r>
        <w:rPr>
          <w:color w:val="231F20"/>
        </w:rPr>
        <w:t>who interact with parolees or inmates; firefighters; medical residents; emer- gency medical technicians;</w:t>
      </w:r>
      <w:r>
        <w:rPr>
          <w:color w:val="231F20"/>
          <w:spacing w:val="-34"/>
        </w:rPr>
        <w:t> </w:t>
      </w:r>
      <w:r>
        <w:rPr>
          <w:color w:val="231F20"/>
        </w:rPr>
        <w:t>individuals </w:t>
      </w:r>
      <w:r>
        <w:rPr>
          <w:color w:val="231F20"/>
          <w:spacing w:val="2"/>
        </w:rPr>
        <w:t>involved </w:t>
      </w:r>
      <w:r>
        <w:rPr>
          <w:color w:val="231F20"/>
        </w:rPr>
        <w:t>in </w:t>
      </w:r>
      <w:r>
        <w:rPr>
          <w:color w:val="231F20"/>
          <w:spacing w:val="2"/>
        </w:rPr>
        <w:t>drug interdiction </w:t>
      </w:r>
      <w:r>
        <w:rPr>
          <w:color w:val="231F20"/>
        </w:rPr>
        <w:t>or </w:t>
      </w:r>
      <w:r>
        <w:rPr>
          <w:color w:val="231F20"/>
          <w:spacing w:val="3"/>
        </w:rPr>
        <w:t>who </w:t>
      </w:r>
      <w:r>
        <w:rPr>
          <w:color w:val="231F20"/>
        </w:rPr>
        <w:t>have access to sensitive</w:t>
      </w:r>
      <w:r>
        <w:rPr>
          <w:color w:val="231F20"/>
          <w:spacing w:val="15"/>
        </w:rPr>
        <w:t> </w:t>
      </w:r>
      <w:r>
        <w:rPr>
          <w:color w:val="231F20"/>
        </w:rPr>
        <w:t>information;</w:t>
      </w:r>
    </w:p>
    <w:p>
      <w:pPr>
        <w:pStyle w:val="BodyText"/>
        <w:spacing w:line="254" w:lineRule="auto" w:before="82"/>
        <w:ind w:left="119" w:right="291"/>
        <w:jc w:val="both"/>
      </w:pPr>
      <w:r>
        <w:rPr/>
        <w:br w:type="column"/>
      </w:r>
      <w:r>
        <w:rPr>
          <w:color w:val="231F20"/>
        </w:rPr>
        <w:t>employees who work with or operate </w:t>
      </w:r>
      <w:r>
        <w:rPr>
          <w:color w:val="231F20"/>
          <w:spacing w:val="4"/>
        </w:rPr>
        <w:t>heavy machinery </w:t>
      </w:r>
      <w:r>
        <w:rPr>
          <w:color w:val="231F20"/>
          <w:spacing w:val="2"/>
        </w:rPr>
        <w:t>or </w:t>
      </w:r>
      <w:r>
        <w:rPr>
          <w:color w:val="231F20"/>
          <w:spacing w:val="4"/>
        </w:rPr>
        <w:t>large </w:t>
      </w:r>
      <w:r>
        <w:rPr>
          <w:color w:val="231F20"/>
          <w:spacing w:val="5"/>
        </w:rPr>
        <w:t>vehicles, </w:t>
      </w:r>
      <w:r>
        <w:rPr>
          <w:color w:val="231F20"/>
        </w:rPr>
        <w:t>such</w:t>
      </w:r>
      <w:r>
        <w:rPr>
          <w:color w:val="231F20"/>
          <w:spacing w:val="-21"/>
        </w:rPr>
        <w:t> </w:t>
      </w:r>
      <w:r>
        <w:rPr>
          <w:color w:val="231F20"/>
        </w:rPr>
        <w:t>as</w:t>
      </w:r>
      <w:r>
        <w:rPr>
          <w:color w:val="231F20"/>
          <w:spacing w:val="-20"/>
        </w:rPr>
        <w:t> </w:t>
      </w:r>
      <w:r>
        <w:rPr>
          <w:color w:val="231F20"/>
        </w:rPr>
        <w:t>planes,</w:t>
      </w:r>
      <w:r>
        <w:rPr>
          <w:color w:val="231F20"/>
          <w:spacing w:val="-20"/>
        </w:rPr>
        <w:t> </w:t>
      </w:r>
      <w:r>
        <w:rPr>
          <w:color w:val="231F20"/>
        </w:rPr>
        <w:t>trains,</w:t>
      </w:r>
      <w:r>
        <w:rPr>
          <w:color w:val="231F20"/>
          <w:spacing w:val="-20"/>
        </w:rPr>
        <w:t> </w:t>
      </w:r>
      <w:r>
        <w:rPr>
          <w:color w:val="231F20"/>
        </w:rPr>
        <w:t>buses,</w:t>
      </w:r>
      <w:r>
        <w:rPr>
          <w:color w:val="231F20"/>
          <w:spacing w:val="-21"/>
        </w:rPr>
        <w:t> </w:t>
      </w:r>
      <w:r>
        <w:rPr>
          <w:color w:val="231F20"/>
        </w:rPr>
        <w:t>or</w:t>
      </w:r>
      <w:r>
        <w:rPr>
          <w:color w:val="231F20"/>
          <w:spacing w:val="-20"/>
        </w:rPr>
        <w:t> </w:t>
      </w:r>
      <w:r>
        <w:rPr>
          <w:color w:val="231F20"/>
        </w:rPr>
        <w:t>boats; or individuals who operate mass tran- sit.</w:t>
      </w:r>
      <w:r>
        <w:rPr>
          <w:color w:val="231F20"/>
          <w:position w:val="7"/>
          <w:sz w:val="12"/>
        </w:rPr>
        <w:t>8 </w:t>
      </w:r>
      <w:r>
        <w:rPr>
          <w:color w:val="231F20"/>
        </w:rPr>
        <w:t>The court noted that this list was not</w:t>
      </w:r>
      <w:r>
        <w:rPr>
          <w:color w:val="231F20"/>
          <w:spacing w:val="-20"/>
        </w:rPr>
        <w:t> </w:t>
      </w:r>
      <w:r>
        <w:rPr>
          <w:color w:val="231F20"/>
        </w:rPr>
        <w:t>exhaustive,</w:t>
      </w:r>
      <w:r>
        <w:rPr>
          <w:color w:val="231F20"/>
          <w:spacing w:val="-20"/>
        </w:rPr>
        <w:t> </w:t>
      </w:r>
      <w:r>
        <w:rPr>
          <w:color w:val="231F20"/>
        </w:rPr>
        <w:t>and</w:t>
      </w:r>
      <w:r>
        <w:rPr>
          <w:color w:val="231F20"/>
          <w:spacing w:val="-20"/>
        </w:rPr>
        <w:t> </w:t>
      </w:r>
      <w:r>
        <w:rPr>
          <w:color w:val="231F20"/>
        </w:rPr>
        <w:t>there</w:t>
      </w:r>
      <w:r>
        <w:rPr>
          <w:color w:val="231F20"/>
          <w:spacing w:val="-20"/>
        </w:rPr>
        <w:t> </w:t>
      </w:r>
      <w:r>
        <w:rPr>
          <w:color w:val="231F20"/>
        </w:rPr>
        <w:t>may</w:t>
      </w:r>
      <w:r>
        <w:rPr>
          <w:color w:val="231F20"/>
          <w:spacing w:val="-20"/>
        </w:rPr>
        <w:t> </w:t>
      </w:r>
      <w:r>
        <w:rPr>
          <w:color w:val="231F20"/>
        </w:rPr>
        <w:t>be</w:t>
      </w:r>
      <w:r>
        <w:rPr>
          <w:color w:val="231F20"/>
          <w:spacing w:val="-20"/>
        </w:rPr>
        <w:t> </w:t>
      </w:r>
      <w:r>
        <w:rPr>
          <w:color w:val="231F20"/>
        </w:rPr>
        <w:t>other positions “that actually present real, substantial, and immediate threats to public safety” that may be subject to suspicionless testing.</w:t>
      </w:r>
      <w:r>
        <w:rPr>
          <w:color w:val="231F20"/>
          <w:position w:val="7"/>
          <w:sz w:val="12"/>
        </w:rPr>
        <w:t>9 </w:t>
      </w:r>
      <w:r>
        <w:rPr>
          <w:color w:val="231F20"/>
          <w:spacing w:val="-3"/>
        </w:rPr>
        <w:t>Notably, </w:t>
      </w:r>
      <w:r>
        <w:rPr>
          <w:color w:val="231F20"/>
        </w:rPr>
        <w:t>teach- ers were not included in this</w:t>
      </w:r>
      <w:r>
        <w:rPr>
          <w:color w:val="231F20"/>
          <w:spacing w:val="-13"/>
        </w:rPr>
        <w:t> </w:t>
      </w:r>
      <w:r>
        <w:rPr>
          <w:color w:val="231F20"/>
        </w:rPr>
        <w:t>list.</w:t>
      </w:r>
    </w:p>
    <w:p>
      <w:pPr>
        <w:pStyle w:val="BodyText"/>
        <w:spacing w:line="254" w:lineRule="auto" w:before="4"/>
        <w:ind w:left="119" w:right="288" w:firstLine="180"/>
        <w:jc w:val="both"/>
        <w:rPr>
          <w:sz w:val="12"/>
        </w:rPr>
      </w:pPr>
      <w:r>
        <w:rPr>
          <w:color w:val="231F20"/>
        </w:rPr>
        <w:t>In the 2013 decision, the Eleventh </w:t>
      </w:r>
      <w:r>
        <w:rPr>
          <w:color w:val="231F20"/>
          <w:spacing w:val="6"/>
        </w:rPr>
        <w:t>Circuit </w:t>
      </w:r>
      <w:r>
        <w:rPr>
          <w:color w:val="231F20"/>
          <w:spacing w:val="4"/>
        </w:rPr>
        <w:t>set </w:t>
      </w:r>
      <w:r>
        <w:rPr>
          <w:color w:val="231F20"/>
          <w:spacing w:val="5"/>
        </w:rPr>
        <w:t>forth </w:t>
      </w:r>
      <w:r>
        <w:rPr>
          <w:color w:val="231F20"/>
          <w:spacing w:val="4"/>
        </w:rPr>
        <w:t>the </w:t>
      </w:r>
      <w:r>
        <w:rPr>
          <w:color w:val="231F20"/>
          <w:spacing w:val="6"/>
        </w:rPr>
        <w:t>framework </w:t>
      </w:r>
      <w:r>
        <w:rPr>
          <w:color w:val="231F20"/>
          <w:spacing w:val="7"/>
        </w:rPr>
        <w:t>for </w:t>
      </w:r>
      <w:r>
        <w:rPr>
          <w:color w:val="231F20"/>
          <w:spacing w:val="6"/>
        </w:rPr>
        <w:t>determining whether </w:t>
      </w:r>
      <w:r>
        <w:rPr>
          <w:color w:val="231F20"/>
          <w:spacing w:val="7"/>
        </w:rPr>
        <w:t>suspicionless </w:t>
      </w:r>
      <w:r>
        <w:rPr>
          <w:color w:val="231F20"/>
        </w:rPr>
        <w:t>drug testing violated the Constitution. </w:t>
      </w:r>
      <w:r>
        <w:rPr>
          <w:color w:val="231F20"/>
          <w:spacing w:val="5"/>
        </w:rPr>
        <w:t>First, </w:t>
      </w:r>
      <w:r>
        <w:rPr>
          <w:color w:val="231F20"/>
          <w:spacing w:val="4"/>
        </w:rPr>
        <w:t>said the </w:t>
      </w:r>
      <w:r>
        <w:rPr>
          <w:color w:val="231F20"/>
          <w:spacing w:val="5"/>
        </w:rPr>
        <w:t>court, </w:t>
      </w:r>
      <w:r>
        <w:rPr>
          <w:color w:val="231F20"/>
          <w:spacing w:val="4"/>
        </w:rPr>
        <w:t>the </w:t>
      </w:r>
      <w:r>
        <w:rPr>
          <w:color w:val="231F20"/>
          <w:spacing w:val="6"/>
        </w:rPr>
        <w:t>employee </w:t>
      </w:r>
      <w:r>
        <w:rPr>
          <w:color w:val="231F20"/>
        </w:rPr>
        <w:t>has the initial burden of demonstrat- ing that there was a search and that it was conducted without individualized suspicion. The employer then has the burden of showing the special need  to allow a suspicionless search under the</w:t>
      </w:r>
      <w:r>
        <w:rPr>
          <w:color w:val="231F20"/>
          <w:spacing w:val="-26"/>
        </w:rPr>
        <w:t> </w:t>
      </w:r>
      <w:r>
        <w:rPr>
          <w:color w:val="231F20"/>
        </w:rPr>
        <w:t>Fourth</w:t>
      </w:r>
      <w:r>
        <w:rPr>
          <w:color w:val="231F20"/>
          <w:spacing w:val="-33"/>
        </w:rPr>
        <w:t> </w:t>
      </w:r>
      <w:r>
        <w:rPr>
          <w:color w:val="231F20"/>
        </w:rPr>
        <w:t>Amendment.</w:t>
      </w:r>
      <w:r>
        <w:rPr>
          <w:color w:val="231F20"/>
          <w:spacing w:val="-26"/>
        </w:rPr>
        <w:t> </w:t>
      </w:r>
      <w:r>
        <w:rPr>
          <w:color w:val="231F20"/>
        </w:rPr>
        <w:t>If</w:t>
      </w:r>
      <w:r>
        <w:rPr>
          <w:color w:val="231F20"/>
          <w:spacing w:val="-25"/>
        </w:rPr>
        <w:t> </w:t>
      </w:r>
      <w:r>
        <w:rPr>
          <w:color w:val="231F20"/>
        </w:rPr>
        <w:t>the</w:t>
      </w:r>
      <w:r>
        <w:rPr>
          <w:color w:val="231F20"/>
          <w:spacing w:val="-25"/>
        </w:rPr>
        <w:t> </w:t>
      </w:r>
      <w:r>
        <w:rPr>
          <w:color w:val="231F20"/>
        </w:rPr>
        <w:t>employer meets this burden of production, then the</w:t>
      </w:r>
      <w:r>
        <w:rPr>
          <w:color w:val="231F20"/>
          <w:spacing w:val="-19"/>
        </w:rPr>
        <w:t> </w:t>
      </w:r>
      <w:r>
        <w:rPr>
          <w:color w:val="231F20"/>
          <w:spacing w:val="-3"/>
        </w:rPr>
        <w:t>court</w:t>
      </w:r>
      <w:r>
        <w:rPr>
          <w:color w:val="231F20"/>
          <w:spacing w:val="-19"/>
        </w:rPr>
        <w:t> </w:t>
      </w:r>
      <w:r>
        <w:rPr>
          <w:color w:val="231F20"/>
          <w:spacing w:val="-3"/>
        </w:rPr>
        <w:t>must</w:t>
      </w:r>
      <w:r>
        <w:rPr>
          <w:color w:val="231F20"/>
          <w:spacing w:val="-19"/>
        </w:rPr>
        <w:t> </w:t>
      </w:r>
      <w:r>
        <w:rPr>
          <w:color w:val="231F20"/>
          <w:spacing w:val="-3"/>
        </w:rPr>
        <w:t>balance</w:t>
      </w:r>
      <w:r>
        <w:rPr>
          <w:color w:val="231F20"/>
          <w:spacing w:val="-19"/>
        </w:rPr>
        <w:t> </w:t>
      </w:r>
      <w:r>
        <w:rPr>
          <w:color w:val="231F20"/>
        </w:rPr>
        <w:t>the</w:t>
      </w:r>
      <w:r>
        <w:rPr>
          <w:color w:val="231F20"/>
          <w:spacing w:val="-19"/>
        </w:rPr>
        <w:t> </w:t>
      </w:r>
      <w:r>
        <w:rPr>
          <w:color w:val="231F20"/>
          <w:spacing w:val="-3"/>
        </w:rPr>
        <w:t>special</w:t>
      </w:r>
      <w:r>
        <w:rPr>
          <w:color w:val="231F20"/>
          <w:spacing w:val="-19"/>
        </w:rPr>
        <w:t> </w:t>
      </w:r>
      <w:r>
        <w:rPr>
          <w:color w:val="231F20"/>
          <w:spacing w:val="-3"/>
        </w:rPr>
        <w:t>need </w:t>
      </w:r>
      <w:r>
        <w:rPr>
          <w:color w:val="231F20"/>
        </w:rPr>
        <w:t>against the employee’s </w:t>
      </w:r>
      <w:r>
        <w:rPr>
          <w:color w:val="231F20"/>
          <w:spacing w:val="-3"/>
        </w:rPr>
        <w:t>privacy, </w:t>
      </w:r>
      <w:r>
        <w:rPr>
          <w:color w:val="231F20"/>
        </w:rPr>
        <w:t>“bear- ing in mind that the ultimate burden of persuasion remains squarely on </w:t>
      </w:r>
      <w:r>
        <w:rPr>
          <w:color w:val="231F20"/>
          <w:spacing w:val="2"/>
        </w:rPr>
        <w:t>the </w:t>
      </w:r>
      <w:r>
        <w:rPr>
          <w:color w:val="231F20"/>
        </w:rPr>
        <w:t>plaintiff.”</w:t>
      </w:r>
      <w:r>
        <w:rPr>
          <w:color w:val="231F20"/>
          <w:position w:val="7"/>
          <w:sz w:val="12"/>
        </w:rPr>
        <w:t>10</w:t>
      </w:r>
    </w:p>
    <w:p>
      <w:pPr>
        <w:pStyle w:val="BodyText"/>
        <w:spacing w:line="254" w:lineRule="auto" w:before="5"/>
        <w:ind w:left="119" w:right="291" w:firstLine="240"/>
        <w:jc w:val="both"/>
        <w:rPr>
          <w:sz w:val="12"/>
        </w:rPr>
      </w:pPr>
      <w:r>
        <w:rPr>
          <w:color w:val="231F20"/>
        </w:rPr>
        <w:t>These cases provide the backdrop for the Eleventh Circuit’s recent deci- sion in </w:t>
      </w:r>
      <w:r>
        <w:rPr>
          <w:i/>
          <w:color w:val="231F20"/>
        </w:rPr>
        <w:t>Friedenberg </w:t>
      </w:r>
      <w:r>
        <w:rPr>
          <w:i/>
          <w:color w:val="231F20"/>
          <w:spacing w:val="-7"/>
        </w:rPr>
        <w:t>v. </w:t>
      </w:r>
      <w:r>
        <w:rPr>
          <w:i/>
          <w:color w:val="231F20"/>
        </w:rPr>
        <w:t>School Board </w:t>
      </w:r>
      <w:r>
        <w:rPr>
          <w:i/>
          <w:color w:val="231F20"/>
        </w:rPr>
        <w:t>of </w:t>
      </w:r>
      <w:r>
        <w:rPr>
          <w:i/>
          <w:color w:val="231F20"/>
          <w:spacing w:val="3"/>
        </w:rPr>
        <w:t>Palm Beach </w:t>
      </w:r>
      <w:r>
        <w:rPr>
          <w:i/>
          <w:color w:val="231F20"/>
          <w:spacing w:val="2"/>
        </w:rPr>
        <w:t>County</w:t>
      </w:r>
      <w:r>
        <w:rPr>
          <w:color w:val="231F20"/>
          <w:spacing w:val="2"/>
        </w:rPr>
        <w:t>,</w:t>
      </w:r>
      <w:r>
        <w:rPr>
          <w:color w:val="231F20"/>
          <w:spacing w:val="2"/>
          <w:position w:val="7"/>
          <w:sz w:val="12"/>
        </w:rPr>
        <w:t>11 </w:t>
      </w:r>
      <w:r>
        <w:rPr>
          <w:color w:val="231F20"/>
          <w:spacing w:val="3"/>
        </w:rPr>
        <w:t>which </w:t>
      </w:r>
      <w:r>
        <w:rPr>
          <w:color w:val="231F20"/>
          <w:spacing w:val="2"/>
        </w:rPr>
        <w:t>ad- </w:t>
      </w:r>
      <w:r>
        <w:rPr>
          <w:color w:val="231F20"/>
        </w:rPr>
        <w:t>dressed,</w:t>
      </w:r>
      <w:r>
        <w:rPr>
          <w:color w:val="231F20"/>
          <w:spacing w:val="-27"/>
        </w:rPr>
        <w:t> </w:t>
      </w:r>
      <w:r>
        <w:rPr>
          <w:color w:val="231F20"/>
        </w:rPr>
        <w:t>as</w:t>
      </w:r>
      <w:r>
        <w:rPr>
          <w:color w:val="231F20"/>
          <w:spacing w:val="-27"/>
        </w:rPr>
        <w:t> </w:t>
      </w:r>
      <w:r>
        <w:rPr>
          <w:color w:val="231F20"/>
        </w:rPr>
        <w:t>an</w:t>
      </w:r>
      <w:r>
        <w:rPr>
          <w:color w:val="231F20"/>
          <w:spacing w:val="-27"/>
        </w:rPr>
        <w:t> </w:t>
      </w:r>
      <w:r>
        <w:rPr>
          <w:color w:val="231F20"/>
        </w:rPr>
        <w:t>issue</w:t>
      </w:r>
      <w:r>
        <w:rPr>
          <w:color w:val="231F20"/>
          <w:spacing w:val="-27"/>
        </w:rPr>
        <w:t> </w:t>
      </w:r>
      <w:r>
        <w:rPr>
          <w:color w:val="231F20"/>
        </w:rPr>
        <w:t>of</w:t>
      </w:r>
      <w:r>
        <w:rPr>
          <w:color w:val="231F20"/>
          <w:spacing w:val="-26"/>
        </w:rPr>
        <w:t> </w:t>
      </w:r>
      <w:r>
        <w:rPr>
          <w:color w:val="231F20"/>
        </w:rPr>
        <w:t>first</w:t>
      </w:r>
      <w:r>
        <w:rPr>
          <w:color w:val="231F20"/>
          <w:spacing w:val="-27"/>
        </w:rPr>
        <w:t> </w:t>
      </w:r>
      <w:r>
        <w:rPr>
          <w:color w:val="231F20"/>
        </w:rPr>
        <w:t>impression, whether substitute teachers could be subject to suspicionless drug testing. The unanimous decision authored by </w:t>
      </w:r>
      <w:r>
        <w:rPr>
          <w:color w:val="231F20"/>
          <w:spacing w:val="4"/>
        </w:rPr>
        <w:t>Judge Stanley Marcus </w:t>
      </w:r>
      <w:r>
        <w:rPr>
          <w:color w:val="231F20"/>
          <w:spacing w:val="3"/>
        </w:rPr>
        <w:t>affirmed </w:t>
      </w:r>
      <w:r>
        <w:rPr>
          <w:color w:val="231F20"/>
        </w:rPr>
        <w:t>the district court’s order denying a motion for </w:t>
      </w:r>
      <w:r>
        <w:rPr>
          <w:color w:val="231F20"/>
          <w:spacing w:val="2"/>
        </w:rPr>
        <w:t>preliminary injunction. </w:t>
      </w:r>
      <w:r>
        <w:rPr>
          <w:color w:val="231F20"/>
        </w:rPr>
        <w:t>The </w:t>
      </w:r>
      <w:r>
        <w:rPr>
          <w:color w:val="231F20"/>
          <w:spacing w:val="3"/>
        </w:rPr>
        <w:t>court </w:t>
      </w:r>
      <w:r>
        <w:rPr>
          <w:color w:val="231F20"/>
        </w:rPr>
        <w:t>concluded: “We think that the School </w:t>
      </w:r>
      <w:r>
        <w:rPr>
          <w:color w:val="231F20"/>
          <w:spacing w:val="4"/>
        </w:rPr>
        <w:t>Board </w:t>
      </w:r>
      <w:r>
        <w:rPr>
          <w:color w:val="231F20"/>
          <w:spacing w:val="3"/>
        </w:rPr>
        <w:t>has </w:t>
      </w:r>
      <w:r>
        <w:rPr>
          <w:color w:val="231F20"/>
        </w:rPr>
        <w:t>a </w:t>
      </w:r>
      <w:r>
        <w:rPr>
          <w:color w:val="231F20"/>
          <w:spacing w:val="4"/>
        </w:rPr>
        <w:t>sufficiently </w:t>
      </w:r>
      <w:r>
        <w:rPr>
          <w:color w:val="231F20"/>
          <w:spacing w:val="3"/>
        </w:rPr>
        <w:t>compelling </w:t>
      </w:r>
      <w:r>
        <w:rPr>
          <w:color w:val="231F20"/>
          <w:spacing w:val="2"/>
        </w:rPr>
        <w:t>interest </w:t>
      </w:r>
      <w:r>
        <w:rPr>
          <w:color w:val="231F20"/>
        </w:rPr>
        <w:t>in </w:t>
      </w:r>
      <w:r>
        <w:rPr>
          <w:color w:val="231F20"/>
          <w:spacing w:val="2"/>
        </w:rPr>
        <w:t>screening </w:t>
      </w:r>
      <w:r>
        <w:rPr>
          <w:color w:val="231F20"/>
        </w:rPr>
        <w:t>its </w:t>
      </w:r>
      <w:r>
        <w:rPr>
          <w:color w:val="231F20"/>
          <w:spacing w:val="3"/>
        </w:rPr>
        <w:t>prospective </w:t>
      </w:r>
      <w:r>
        <w:rPr>
          <w:color w:val="231F20"/>
        </w:rPr>
        <w:t>teachers to justify this invasion of the privacy rights of job</w:t>
      </w:r>
      <w:r>
        <w:rPr>
          <w:color w:val="231F20"/>
          <w:spacing w:val="-10"/>
        </w:rPr>
        <w:t> </w:t>
      </w:r>
      <w:r>
        <w:rPr>
          <w:color w:val="231F20"/>
        </w:rPr>
        <w:t>applicants.”</w:t>
      </w:r>
      <w:r>
        <w:rPr>
          <w:color w:val="231F20"/>
          <w:position w:val="7"/>
          <w:sz w:val="12"/>
        </w:rPr>
        <w:t>12</w:t>
      </w:r>
    </w:p>
    <w:p>
      <w:pPr>
        <w:pStyle w:val="BodyText"/>
        <w:spacing w:line="254" w:lineRule="auto" w:before="4"/>
        <w:ind w:left="119" w:right="297" w:firstLine="240"/>
        <w:jc w:val="both"/>
      </w:pPr>
      <w:r>
        <w:rPr>
          <w:color w:val="231F20"/>
        </w:rPr>
        <w:t>The</w:t>
      </w:r>
      <w:r>
        <w:rPr>
          <w:color w:val="231F20"/>
          <w:spacing w:val="-14"/>
        </w:rPr>
        <w:t> </w:t>
      </w:r>
      <w:r>
        <w:rPr>
          <w:color w:val="231F20"/>
        </w:rPr>
        <w:t>plaintiff</w:t>
      </w:r>
      <w:r>
        <w:rPr>
          <w:color w:val="231F20"/>
          <w:spacing w:val="-13"/>
        </w:rPr>
        <w:t> </w:t>
      </w:r>
      <w:r>
        <w:rPr>
          <w:color w:val="231F20"/>
        </w:rPr>
        <w:t>in</w:t>
      </w:r>
      <w:r>
        <w:rPr>
          <w:color w:val="231F20"/>
          <w:spacing w:val="-13"/>
        </w:rPr>
        <w:t> </w:t>
      </w:r>
      <w:r>
        <w:rPr>
          <w:color w:val="231F20"/>
        </w:rPr>
        <w:t>this</w:t>
      </w:r>
      <w:r>
        <w:rPr>
          <w:color w:val="231F20"/>
          <w:spacing w:val="-13"/>
        </w:rPr>
        <w:t> </w:t>
      </w:r>
      <w:r>
        <w:rPr>
          <w:color w:val="231F20"/>
        </w:rPr>
        <w:t>case</w:t>
      </w:r>
      <w:r>
        <w:rPr>
          <w:color w:val="231F20"/>
          <w:spacing w:val="-14"/>
        </w:rPr>
        <w:t> </w:t>
      </w:r>
      <w:r>
        <w:rPr>
          <w:color w:val="231F20"/>
        </w:rPr>
        <w:t>had</w:t>
      </w:r>
      <w:r>
        <w:rPr>
          <w:color w:val="231F20"/>
          <w:spacing w:val="-13"/>
        </w:rPr>
        <w:t> </w:t>
      </w:r>
      <w:r>
        <w:rPr>
          <w:color w:val="231F20"/>
        </w:rPr>
        <w:t>applied for three positions in the Palm Beach County</w:t>
      </w:r>
      <w:r>
        <w:rPr>
          <w:color w:val="231F20"/>
          <w:spacing w:val="-33"/>
        </w:rPr>
        <w:t> </w:t>
      </w:r>
      <w:r>
        <w:rPr>
          <w:color w:val="231F20"/>
        </w:rPr>
        <w:t>school</w:t>
      </w:r>
      <w:r>
        <w:rPr>
          <w:color w:val="231F20"/>
          <w:spacing w:val="-32"/>
        </w:rPr>
        <w:t> </w:t>
      </w:r>
      <w:r>
        <w:rPr>
          <w:color w:val="231F20"/>
        </w:rPr>
        <w:t>district:</w:t>
      </w:r>
      <w:r>
        <w:rPr>
          <w:color w:val="231F20"/>
          <w:spacing w:val="-32"/>
        </w:rPr>
        <w:t> </w:t>
      </w:r>
      <w:r>
        <w:rPr>
          <w:color w:val="231F20"/>
        </w:rPr>
        <w:t>substitute</w:t>
      </w:r>
      <w:r>
        <w:rPr>
          <w:color w:val="231F20"/>
          <w:spacing w:val="-32"/>
        </w:rPr>
        <w:t> </w:t>
      </w:r>
      <w:r>
        <w:rPr>
          <w:color w:val="231F20"/>
        </w:rPr>
        <w:t>teach- </w:t>
      </w:r>
      <w:r>
        <w:rPr>
          <w:color w:val="231F20"/>
          <w:spacing w:val="-5"/>
        </w:rPr>
        <w:t>er,</w:t>
      </w:r>
      <w:r>
        <w:rPr>
          <w:color w:val="231F20"/>
          <w:spacing w:val="-10"/>
        </w:rPr>
        <w:t> </w:t>
      </w:r>
      <w:r>
        <w:rPr>
          <w:color w:val="231F20"/>
        </w:rPr>
        <w:t>tutor,</w:t>
      </w:r>
      <w:r>
        <w:rPr>
          <w:color w:val="231F20"/>
          <w:spacing w:val="-10"/>
        </w:rPr>
        <w:t> </w:t>
      </w:r>
      <w:r>
        <w:rPr>
          <w:color w:val="231F20"/>
        </w:rPr>
        <w:t>and</w:t>
      </w:r>
      <w:r>
        <w:rPr>
          <w:color w:val="231F20"/>
          <w:spacing w:val="-11"/>
        </w:rPr>
        <w:t> </w:t>
      </w:r>
      <w:r>
        <w:rPr>
          <w:color w:val="231F20"/>
        </w:rPr>
        <w:t>early</w:t>
      </w:r>
      <w:r>
        <w:rPr>
          <w:color w:val="231F20"/>
          <w:spacing w:val="-10"/>
        </w:rPr>
        <w:t> </w:t>
      </w:r>
      <w:r>
        <w:rPr>
          <w:color w:val="231F20"/>
        </w:rPr>
        <w:t>childhood</w:t>
      </w:r>
      <w:r>
        <w:rPr>
          <w:color w:val="231F20"/>
          <w:spacing w:val="-10"/>
        </w:rPr>
        <w:t> </w:t>
      </w:r>
      <w:r>
        <w:rPr>
          <w:color w:val="231F20"/>
        </w:rPr>
        <w:t>aide.</w:t>
      </w:r>
      <w:r>
        <w:rPr>
          <w:color w:val="231F20"/>
          <w:spacing w:val="-13"/>
        </w:rPr>
        <w:t> </w:t>
      </w:r>
      <w:r>
        <w:rPr>
          <w:color w:val="231F20"/>
        </w:rPr>
        <w:t>The school</w:t>
      </w:r>
      <w:r>
        <w:rPr>
          <w:color w:val="231F20"/>
          <w:spacing w:val="-11"/>
        </w:rPr>
        <w:t> </w:t>
      </w:r>
      <w:r>
        <w:rPr>
          <w:color w:val="231F20"/>
        </w:rPr>
        <w:t>district</w:t>
      </w:r>
      <w:r>
        <w:rPr>
          <w:color w:val="231F20"/>
          <w:spacing w:val="-11"/>
        </w:rPr>
        <w:t> </w:t>
      </w:r>
      <w:r>
        <w:rPr>
          <w:color w:val="231F20"/>
        </w:rPr>
        <w:t>made</w:t>
      </w:r>
      <w:r>
        <w:rPr>
          <w:color w:val="231F20"/>
          <w:spacing w:val="-10"/>
        </w:rPr>
        <w:t> </w:t>
      </w:r>
      <w:r>
        <w:rPr>
          <w:color w:val="231F20"/>
        </w:rPr>
        <w:t>a</w:t>
      </w:r>
      <w:r>
        <w:rPr>
          <w:color w:val="231F20"/>
          <w:spacing w:val="-11"/>
        </w:rPr>
        <w:t> </w:t>
      </w:r>
      <w:r>
        <w:rPr>
          <w:color w:val="231F20"/>
        </w:rPr>
        <w:t>conditional</w:t>
      </w:r>
      <w:r>
        <w:rPr>
          <w:color w:val="231F20"/>
          <w:spacing w:val="-11"/>
        </w:rPr>
        <w:t> </w:t>
      </w:r>
      <w:r>
        <w:rPr>
          <w:color w:val="231F20"/>
        </w:rPr>
        <w:t>offer of</w:t>
      </w:r>
      <w:r>
        <w:rPr>
          <w:color w:val="231F20"/>
          <w:spacing w:val="-26"/>
        </w:rPr>
        <w:t> </w:t>
      </w:r>
      <w:r>
        <w:rPr>
          <w:color w:val="231F20"/>
        </w:rPr>
        <w:t>employment</w:t>
      </w:r>
      <w:r>
        <w:rPr>
          <w:color w:val="231F20"/>
          <w:spacing w:val="-25"/>
        </w:rPr>
        <w:t> </w:t>
      </w:r>
      <w:r>
        <w:rPr>
          <w:color w:val="231F20"/>
        </w:rPr>
        <w:t>of</w:t>
      </w:r>
      <w:r>
        <w:rPr>
          <w:color w:val="231F20"/>
          <w:spacing w:val="-25"/>
        </w:rPr>
        <w:t> </w:t>
      </w:r>
      <w:r>
        <w:rPr>
          <w:color w:val="231F20"/>
        </w:rPr>
        <w:t>the</w:t>
      </w:r>
      <w:r>
        <w:rPr>
          <w:color w:val="231F20"/>
          <w:spacing w:val="-25"/>
        </w:rPr>
        <w:t> </w:t>
      </w:r>
      <w:r>
        <w:rPr>
          <w:color w:val="231F20"/>
        </w:rPr>
        <w:t>substitute</w:t>
      </w:r>
      <w:r>
        <w:rPr>
          <w:color w:val="231F20"/>
          <w:spacing w:val="-26"/>
        </w:rPr>
        <w:t> </w:t>
      </w:r>
      <w:r>
        <w:rPr>
          <w:color w:val="231F20"/>
          <w:spacing w:val="-4"/>
        </w:rPr>
        <w:t>teacher </w:t>
      </w:r>
      <w:r>
        <w:rPr>
          <w:color w:val="231F20"/>
        </w:rPr>
        <w:t>position</w:t>
      </w:r>
      <w:r>
        <w:rPr>
          <w:color w:val="231F20"/>
          <w:spacing w:val="-22"/>
        </w:rPr>
        <w:t> </w:t>
      </w:r>
      <w:r>
        <w:rPr>
          <w:color w:val="231F20"/>
        </w:rPr>
        <w:t>to</w:t>
      </w:r>
      <w:r>
        <w:rPr>
          <w:color w:val="231F20"/>
          <w:spacing w:val="-21"/>
        </w:rPr>
        <w:t> </w:t>
      </w:r>
      <w:r>
        <w:rPr>
          <w:color w:val="231F20"/>
        </w:rPr>
        <w:t>the</w:t>
      </w:r>
      <w:r>
        <w:rPr>
          <w:color w:val="231F20"/>
          <w:spacing w:val="-21"/>
        </w:rPr>
        <w:t> </w:t>
      </w:r>
      <w:r>
        <w:rPr>
          <w:color w:val="231F20"/>
        </w:rPr>
        <w:t>plaintiff.</w:t>
      </w:r>
      <w:r>
        <w:rPr>
          <w:color w:val="231F20"/>
          <w:spacing w:val="-24"/>
        </w:rPr>
        <w:t> </w:t>
      </w:r>
      <w:r>
        <w:rPr>
          <w:color w:val="231F20"/>
        </w:rPr>
        <w:t>The</w:t>
      </w:r>
      <w:r>
        <w:rPr>
          <w:color w:val="231F20"/>
          <w:spacing w:val="-21"/>
        </w:rPr>
        <w:t> </w:t>
      </w:r>
      <w:r>
        <w:rPr>
          <w:color w:val="231F20"/>
        </w:rPr>
        <w:t>plaintiff</w:t>
      </w:r>
      <w:r>
        <w:rPr>
          <w:color w:val="231F20"/>
          <w:spacing w:val="-21"/>
        </w:rPr>
        <w:t> </w:t>
      </w:r>
      <w:r>
        <w:rPr>
          <w:color w:val="231F20"/>
        </w:rPr>
        <w:t>had to pass a drug test. The plaintiff, how- </w:t>
      </w:r>
      <w:r>
        <w:rPr>
          <w:color w:val="231F20"/>
          <w:spacing w:val="-3"/>
        </w:rPr>
        <w:t>ever,</w:t>
      </w:r>
      <w:r>
        <w:rPr>
          <w:color w:val="231F20"/>
          <w:spacing w:val="-9"/>
        </w:rPr>
        <w:t> </w:t>
      </w:r>
      <w:r>
        <w:rPr>
          <w:color w:val="231F20"/>
        </w:rPr>
        <w:t>refused</w:t>
      </w:r>
      <w:r>
        <w:rPr>
          <w:color w:val="231F20"/>
          <w:spacing w:val="-8"/>
        </w:rPr>
        <w:t> </w:t>
      </w:r>
      <w:r>
        <w:rPr>
          <w:color w:val="231F20"/>
        </w:rPr>
        <w:t>to</w:t>
      </w:r>
      <w:r>
        <w:rPr>
          <w:color w:val="231F20"/>
          <w:spacing w:val="-9"/>
        </w:rPr>
        <w:t> </w:t>
      </w:r>
      <w:r>
        <w:rPr>
          <w:color w:val="231F20"/>
        </w:rPr>
        <w:t>submit</w:t>
      </w:r>
      <w:r>
        <w:rPr>
          <w:color w:val="231F20"/>
          <w:spacing w:val="-8"/>
        </w:rPr>
        <w:t> </w:t>
      </w:r>
      <w:r>
        <w:rPr>
          <w:color w:val="231F20"/>
        </w:rPr>
        <w:t>to</w:t>
      </w:r>
      <w:r>
        <w:rPr>
          <w:color w:val="231F20"/>
          <w:spacing w:val="-9"/>
        </w:rPr>
        <w:t> </w:t>
      </w:r>
      <w:r>
        <w:rPr>
          <w:color w:val="231F20"/>
        </w:rPr>
        <w:t>the</w:t>
      </w:r>
      <w:r>
        <w:rPr>
          <w:color w:val="231F20"/>
          <w:spacing w:val="-8"/>
        </w:rPr>
        <w:t> </w:t>
      </w:r>
      <w:r>
        <w:rPr>
          <w:color w:val="231F20"/>
        </w:rPr>
        <w:t>drug</w:t>
      </w:r>
      <w:r>
        <w:rPr>
          <w:color w:val="231F20"/>
          <w:spacing w:val="-8"/>
        </w:rPr>
        <w:t> </w:t>
      </w:r>
      <w:r>
        <w:rPr>
          <w:color w:val="231F20"/>
        </w:rPr>
        <w:t>test</w:t>
      </w:r>
    </w:p>
    <w:p>
      <w:pPr>
        <w:spacing w:after="0" w:line="254" w:lineRule="auto"/>
        <w:jc w:val="both"/>
        <w:sectPr>
          <w:type w:val="continuous"/>
          <w:pgSz w:w="12240" w:h="15840"/>
          <w:pgMar w:top="500" w:bottom="280" w:left="720" w:right="540"/>
          <w:cols w:num="3" w:equalWidth="0">
            <w:col w:w="3527" w:space="73"/>
            <w:col w:w="3529" w:space="71"/>
            <w:col w:w="3780"/>
          </w:cols>
        </w:sectPr>
      </w:pPr>
    </w:p>
    <w:p>
      <w:pPr>
        <w:pStyle w:val="BodyText"/>
        <w:spacing w:line="254" w:lineRule="auto" w:before="78"/>
        <w:ind w:left="120" w:right="45"/>
        <w:jc w:val="both"/>
      </w:pPr>
      <w:r>
        <w:rPr>
          <w:color w:val="231F20"/>
        </w:rPr>
        <w:t>and brought suit in federal court seek- ing to enjoin the school district’s drug- testing </w:t>
      </w:r>
      <w:r>
        <w:rPr>
          <w:color w:val="231F20"/>
          <w:spacing w:val="-3"/>
        </w:rPr>
        <w:t>policy.</w:t>
      </w:r>
      <w:r>
        <w:rPr>
          <w:color w:val="231F20"/>
          <w:spacing w:val="-3"/>
          <w:position w:val="7"/>
          <w:sz w:val="12"/>
        </w:rPr>
        <w:t>13 </w:t>
      </w:r>
      <w:r>
        <w:rPr>
          <w:color w:val="231F20"/>
        </w:rPr>
        <w:t>In reaching the</w:t>
      </w:r>
      <w:r>
        <w:rPr>
          <w:color w:val="231F20"/>
          <w:spacing w:val="-21"/>
        </w:rPr>
        <w:t> </w:t>
      </w:r>
      <w:r>
        <w:rPr>
          <w:color w:val="231F20"/>
        </w:rPr>
        <w:t>conclu- sion that the test did not violate </w:t>
      </w:r>
      <w:r>
        <w:rPr>
          <w:color w:val="231F20"/>
          <w:spacing w:val="2"/>
        </w:rPr>
        <w:t>the </w:t>
      </w:r>
      <w:r>
        <w:rPr>
          <w:color w:val="231F20"/>
        </w:rPr>
        <w:t>Fourth Amendment, the court closely examined</w:t>
      </w:r>
      <w:r>
        <w:rPr>
          <w:color w:val="231F20"/>
          <w:spacing w:val="-16"/>
        </w:rPr>
        <w:t> </w:t>
      </w:r>
      <w:r>
        <w:rPr>
          <w:color w:val="231F20"/>
        </w:rPr>
        <w:t>the</w:t>
      </w:r>
      <w:r>
        <w:rPr>
          <w:color w:val="231F20"/>
          <w:spacing w:val="-16"/>
        </w:rPr>
        <w:t> </w:t>
      </w:r>
      <w:r>
        <w:rPr>
          <w:color w:val="231F20"/>
        </w:rPr>
        <w:t>testing</w:t>
      </w:r>
      <w:r>
        <w:rPr>
          <w:color w:val="231F20"/>
          <w:spacing w:val="-16"/>
        </w:rPr>
        <w:t> </w:t>
      </w:r>
      <w:r>
        <w:rPr>
          <w:color w:val="231F20"/>
        </w:rPr>
        <w:t>protocol,</w:t>
      </w:r>
      <w:r>
        <w:rPr>
          <w:color w:val="231F20"/>
          <w:spacing w:val="-16"/>
        </w:rPr>
        <w:t> </w:t>
      </w:r>
      <w:r>
        <w:rPr>
          <w:color w:val="231F20"/>
        </w:rPr>
        <w:t>efficacy of the testing, and substitute teachers’ duties and responsibilities. This drug test involved a urine test administered in a private bathroom stall where staff remained outside of the stall. The test was administered in accordance with the Florida Administrative</w:t>
      </w:r>
      <w:r>
        <w:rPr>
          <w:color w:val="231F20"/>
          <w:spacing w:val="-13"/>
        </w:rPr>
        <w:t> </w:t>
      </w:r>
      <w:r>
        <w:rPr>
          <w:color w:val="231F20"/>
        </w:rPr>
        <w:t>Code.</w:t>
      </w:r>
    </w:p>
    <w:p>
      <w:pPr>
        <w:pStyle w:val="BodyText"/>
        <w:spacing w:line="254" w:lineRule="auto"/>
        <w:ind w:left="119" w:right="38" w:firstLine="180"/>
        <w:jc w:val="both"/>
      </w:pPr>
      <w:r>
        <w:rPr>
          <w:color w:val="231F20"/>
          <w:spacing w:val="12"/>
        </w:rPr>
        <w:t>Judge Marcus </w:t>
      </w:r>
      <w:r>
        <w:rPr>
          <w:color w:val="231F20"/>
          <w:spacing w:val="13"/>
        </w:rPr>
        <w:t>recognized </w:t>
      </w:r>
      <w:r>
        <w:rPr>
          <w:color w:val="231F20"/>
          <w:spacing w:val="11"/>
        </w:rPr>
        <w:t>that</w:t>
      </w:r>
      <w:r>
        <w:rPr>
          <w:color w:val="231F20"/>
          <w:spacing w:val="77"/>
        </w:rPr>
        <w:t> </w:t>
      </w:r>
      <w:r>
        <w:rPr>
          <w:color w:val="231F20"/>
        </w:rPr>
        <w:t>“[s]uspicionless searches are permis- sible in a narrow band of cases where </w:t>
      </w:r>
      <w:r>
        <w:rPr>
          <w:color w:val="231F20"/>
          <w:spacing w:val="3"/>
        </w:rPr>
        <w:t>they serve sufficiently </w:t>
      </w:r>
      <w:r>
        <w:rPr>
          <w:color w:val="231F20"/>
          <w:spacing w:val="2"/>
        </w:rPr>
        <w:t>powerful </w:t>
      </w:r>
      <w:r>
        <w:rPr>
          <w:color w:val="231F20"/>
          <w:spacing w:val="3"/>
        </w:rPr>
        <w:t>and </w:t>
      </w:r>
      <w:r>
        <w:rPr>
          <w:color w:val="231F20"/>
          <w:spacing w:val="2"/>
        </w:rPr>
        <w:t>unique public needs.”</w:t>
      </w:r>
      <w:r>
        <w:rPr>
          <w:color w:val="231F20"/>
          <w:spacing w:val="2"/>
          <w:position w:val="7"/>
          <w:sz w:val="12"/>
        </w:rPr>
        <w:t>14 </w:t>
      </w:r>
      <w:r>
        <w:rPr>
          <w:color w:val="231F20"/>
        </w:rPr>
        <w:t>He </w:t>
      </w:r>
      <w:r>
        <w:rPr>
          <w:color w:val="231F20"/>
          <w:spacing w:val="2"/>
        </w:rPr>
        <w:t>also </w:t>
      </w:r>
      <w:r>
        <w:rPr>
          <w:color w:val="231F20"/>
        </w:rPr>
        <w:t>ob- served that the needs are dependent on</w:t>
      </w:r>
      <w:r>
        <w:rPr>
          <w:color w:val="231F20"/>
          <w:spacing w:val="-22"/>
        </w:rPr>
        <w:t> </w:t>
      </w:r>
      <w:r>
        <w:rPr>
          <w:color w:val="231F20"/>
        </w:rPr>
        <w:t>the</w:t>
      </w:r>
      <w:r>
        <w:rPr>
          <w:color w:val="231F20"/>
          <w:spacing w:val="-20"/>
        </w:rPr>
        <w:t> </w:t>
      </w:r>
      <w:r>
        <w:rPr>
          <w:color w:val="231F20"/>
          <w:spacing w:val="-3"/>
        </w:rPr>
        <w:t>context</w:t>
      </w:r>
      <w:r>
        <w:rPr>
          <w:color w:val="231F20"/>
          <w:spacing w:val="-21"/>
        </w:rPr>
        <w:t> </w:t>
      </w:r>
      <w:r>
        <w:rPr>
          <w:color w:val="231F20"/>
        </w:rPr>
        <w:t>in</w:t>
      </w:r>
      <w:r>
        <w:rPr>
          <w:color w:val="231F20"/>
          <w:spacing w:val="-21"/>
        </w:rPr>
        <w:t> </w:t>
      </w:r>
      <w:r>
        <w:rPr>
          <w:color w:val="231F20"/>
          <w:spacing w:val="-3"/>
        </w:rPr>
        <w:t>which</w:t>
      </w:r>
      <w:r>
        <w:rPr>
          <w:color w:val="231F20"/>
          <w:spacing w:val="-21"/>
        </w:rPr>
        <w:t> </w:t>
      </w:r>
      <w:r>
        <w:rPr>
          <w:color w:val="231F20"/>
        </w:rPr>
        <w:t>the</w:t>
      </w:r>
      <w:r>
        <w:rPr>
          <w:color w:val="231F20"/>
          <w:spacing w:val="-20"/>
        </w:rPr>
        <w:t> </w:t>
      </w:r>
      <w:r>
        <w:rPr>
          <w:color w:val="231F20"/>
          <w:spacing w:val="-3"/>
        </w:rPr>
        <w:t>search</w:t>
      </w:r>
      <w:r>
        <w:rPr>
          <w:color w:val="231F20"/>
          <w:spacing w:val="-20"/>
        </w:rPr>
        <w:t> </w:t>
      </w:r>
      <w:r>
        <w:rPr>
          <w:color w:val="231F20"/>
          <w:spacing w:val="-3"/>
        </w:rPr>
        <w:t>takes </w:t>
      </w:r>
      <w:r>
        <w:rPr>
          <w:color w:val="231F20"/>
        </w:rPr>
        <w:t>place. In the context of this case, the court</w:t>
      </w:r>
      <w:r>
        <w:rPr>
          <w:color w:val="231F20"/>
          <w:spacing w:val="-12"/>
        </w:rPr>
        <w:t> </w:t>
      </w:r>
      <w:r>
        <w:rPr>
          <w:color w:val="231F20"/>
        </w:rPr>
        <w:t>found</w:t>
      </w:r>
      <w:r>
        <w:rPr>
          <w:color w:val="231F20"/>
          <w:spacing w:val="-11"/>
        </w:rPr>
        <w:t> </w:t>
      </w:r>
      <w:r>
        <w:rPr>
          <w:color w:val="231F20"/>
        </w:rPr>
        <w:t>that</w:t>
      </w:r>
      <w:r>
        <w:rPr>
          <w:color w:val="231F20"/>
          <w:spacing w:val="-11"/>
        </w:rPr>
        <w:t> </w:t>
      </w:r>
      <w:r>
        <w:rPr>
          <w:color w:val="231F20"/>
        </w:rPr>
        <w:t>“ensuring</w:t>
      </w:r>
      <w:r>
        <w:rPr>
          <w:color w:val="231F20"/>
          <w:spacing w:val="-12"/>
        </w:rPr>
        <w:t> </w:t>
      </w:r>
      <w:r>
        <w:rPr>
          <w:color w:val="231F20"/>
        </w:rPr>
        <w:t>the</w:t>
      </w:r>
      <w:r>
        <w:rPr>
          <w:color w:val="231F20"/>
          <w:spacing w:val="-11"/>
        </w:rPr>
        <w:t> </w:t>
      </w:r>
      <w:r>
        <w:rPr>
          <w:color w:val="231F20"/>
        </w:rPr>
        <w:t>safety</w:t>
      </w:r>
      <w:r>
        <w:rPr>
          <w:color w:val="231F20"/>
          <w:spacing w:val="-11"/>
        </w:rPr>
        <w:t> </w:t>
      </w:r>
      <w:r>
        <w:rPr>
          <w:color w:val="231F20"/>
        </w:rPr>
        <w:t>of millions</w:t>
      </w:r>
      <w:r>
        <w:rPr>
          <w:color w:val="231F20"/>
          <w:spacing w:val="-29"/>
        </w:rPr>
        <w:t> </w:t>
      </w:r>
      <w:r>
        <w:rPr>
          <w:color w:val="231F20"/>
        </w:rPr>
        <w:t>of</w:t>
      </w:r>
      <w:r>
        <w:rPr>
          <w:color w:val="231F20"/>
          <w:spacing w:val="-28"/>
        </w:rPr>
        <w:t> </w:t>
      </w:r>
      <w:r>
        <w:rPr>
          <w:color w:val="231F20"/>
        </w:rPr>
        <w:t>schoolchildren</w:t>
      </w:r>
      <w:r>
        <w:rPr>
          <w:color w:val="231F20"/>
          <w:spacing w:val="-28"/>
        </w:rPr>
        <w:t> </w:t>
      </w:r>
      <w:r>
        <w:rPr>
          <w:color w:val="231F20"/>
        </w:rPr>
        <w:t>in</w:t>
      </w:r>
      <w:r>
        <w:rPr>
          <w:color w:val="231F20"/>
          <w:spacing w:val="-28"/>
        </w:rPr>
        <w:t> </w:t>
      </w:r>
      <w:r>
        <w:rPr>
          <w:color w:val="231F20"/>
        </w:rPr>
        <w:t>the</w:t>
      </w:r>
      <w:r>
        <w:rPr>
          <w:color w:val="231F20"/>
          <w:spacing w:val="-29"/>
        </w:rPr>
        <w:t> </w:t>
      </w:r>
      <w:r>
        <w:rPr>
          <w:color w:val="231F20"/>
        </w:rPr>
        <w:t>manda- tory supervision and care of the state, and ensuring and impressing a drug- free environment in our classrooms, are compelling concerns.”</w:t>
      </w:r>
      <w:r>
        <w:rPr>
          <w:color w:val="231F20"/>
          <w:position w:val="7"/>
          <w:sz w:val="12"/>
        </w:rPr>
        <w:t>15 </w:t>
      </w:r>
      <w:r>
        <w:rPr>
          <w:color w:val="231F20"/>
        </w:rPr>
        <w:t>The court was</w:t>
      </w:r>
      <w:r>
        <w:rPr>
          <w:color w:val="231F20"/>
          <w:spacing w:val="-9"/>
        </w:rPr>
        <w:t> </w:t>
      </w:r>
      <w:r>
        <w:rPr>
          <w:color w:val="231F20"/>
        </w:rPr>
        <w:t>careful</w:t>
      </w:r>
      <w:r>
        <w:rPr>
          <w:color w:val="231F20"/>
          <w:spacing w:val="-7"/>
        </w:rPr>
        <w:t> </w:t>
      </w:r>
      <w:r>
        <w:rPr>
          <w:color w:val="231F20"/>
        </w:rPr>
        <w:t>to</w:t>
      </w:r>
      <w:r>
        <w:rPr>
          <w:color w:val="231F20"/>
          <w:spacing w:val="-8"/>
        </w:rPr>
        <w:t> </w:t>
      </w:r>
      <w:r>
        <w:rPr>
          <w:color w:val="231F20"/>
        </w:rPr>
        <w:t>emphasize</w:t>
      </w:r>
      <w:r>
        <w:rPr>
          <w:color w:val="231F20"/>
          <w:spacing w:val="-8"/>
        </w:rPr>
        <w:t> </w:t>
      </w:r>
      <w:r>
        <w:rPr>
          <w:color w:val="231F20"/>
        </w:rPr>
        <w:t>that</w:t>
      </w:r>
      <w:r>
        <w:rPr>
          <w:color w:val="231F20"/>
          <w:spacing w:val="-8"/>
        </w:rPr>
        <w:t> </w:t>
      </w:r>
      <w:r>
        <w:rPr>
          <w:color w:val="231F20"/>
        </w:rPr>
        <w:t>its</w:t>
      </w:r>
      <w:r>
        <w:rPr>
          <w:color w:val="231F20"/>
          <w:spacing w:val="-9"/>
        </w:rPr>
        <w:t> </w:t>
      </w:r>
      <w:r>
        <w:rPr>
          <w:color w:val="231F20"/>
        </w:rPr>
        <w:t>deci- sion was limited to the unique context of public schools</w:t>
      </w:r>
      <w:r>
        <w:rPr>
          <w:color w:val="231F20"/>
          <w:position w:val="7"/>
          <w:sz w:val="12"/>
        </w:rPr>
        <w:t>16 </w:t>
      </w:r>
      <w:r>
        <w:rPr>
          <w:color w:val="231F20"/>
        </w:rPr>
        <w:t>and was highly de- pendent on the context of the search and on the duties of the person being searched.</w:t>
      </w:r>
    </w:p>
    <w:p>
      <w:pPr>
        <w:pStyle w:val="BodyText"/>
        <w:spacing w:line="254" w:lineRule="auto" w:before="1"/>
        <w:ind w:left="119" w:right="47" w:firstLine="324"/>
        <w:jc w:val="both"/>
      </w:pPr>
      <w:r>
        <w:rPr>
          <w:color w:val="231F20"/>
        </w:rPr>
        <w:t>In reaching its holding, the Elev- enth Circuit </w:t>
      </w:r>
      <w:r>
        <w:rPr>
          <w:color w:val="231F20"/>
          <w:spacing w:val="2"/>
        </w:rPr>
        <w:t>reviewed </w:t>
      </w:r>
      <w:r>
        <w:rPr>
          <w:color w:val="231F20"/>
        </w:rPr>
        <w:t>the precedent addressing drug testing in the public workplace over the last thirty </w:t>
      </w:r>
      <w:r>
        <w:rPr>
          <w:color w:val="231F20"/>
          <w:spacing w:val="2"/>
        </w:rPr>
        <w:t>years. </w:t>
      </w:r>
      <w:r>
        <w:rPr>
          <w:color w:val="231F20"/>
        </w:rPr>
        <w:t>The</w:t>
      </w:r>
      <w:r>
        <w:rPr>
          <w:color w:val="231F20"/>
          <w:spacing w:val="-24"/>
        </w:rPr>
        <w:t> </w:t>
      </w:r>
      <w:r>
        <w:rPr>
          <w:color w:val="231F20"/>
        </w:rPr>
        <w:t>court</w:t>
      </w:r>
      <w:r>
        <w:rPr>
          <w:color w:val="231F20"/>
          <w:spacing w:val="-23"/>
        </w:rPr>
        <w:t> </w:t>
      </w:r>
      <w:r>
        <w:rPr>
          <w:color w:val="231F20"/>
        </w:rPr>
        <w:t>noted</w:t>
      </w:r>
      <w:r>
        <w:rPr>
          <w:color w:val="231F20"/>
          <w:spacing w:val="-23"/>
        </w:rPr>
        <w:t> </w:t>
      </w:r>
      <w:r>
        <w:rPr>
          <w:color w:val="231F20"/>
        </w:rPr>
        <w:t>that,</w:t>
      </w:r>
      <w:r>
        <w:rPr>
          <w:color w:val="231F20"/>
          <w:spacing w:val="-23"/>
        </w:rPr>
        <w:t> </w:t>
      </w:r>
      <w:r>
        <w:rPr>
          <w:color w:val="231F20"/>
        </w:rPr>
        <w:t>based</w:t>
      </w:r>
      <w:r>
        <w:rPr>
          <w:color w:val="231F20"/>
          <w:spacing w:val="-23"/>
        </w:rPr>
        <w:t> </w:t>
      </w:r>
      <w:r>
        <w:rPr>
          <w:color w:val="231F20"/>
        </w:rPr>
        <w:t>on</w:t>
      </w:r>
      <w:r>
        <w:rPr>
          <w:color w:val="231F20"/>
          <w:spacing w:val="-23"/>
        </w:rPr>
        <w:t> </w:t>
      </w:r>
      <w:r>
        <w:rPr>
          <w:color w:val="231F20"/>
        </w:rPr>
        <w:t>the</w:t>
      </w:r>
      <w:r>
        <w:rPr>
          <w:color w:val="231F20"/>
          <w:spacing w:val="-23"/>
        </w:rPr>
        <w:t> </w:t>
      </w:r>
      <w:r>
        <w:rPr>
          <w:color w:val="231F20"/>
        </w:rPr>
        <w:t>spe- cial needs associated with the unique context of public schools, it previously had</w:t>
      </w:r>
      <w:r>
        <w:rPr>
          <w:color w:val="231F20"/>
          <w:spacing w:val="-20"/>
        </w:rPr>
        <w:t> </w:t>
      </w:r>
      <w:r>
        <w:rPr>
          <w:color w:val="231F20"/>
        </w:rPr>
        <w:t>upheld</w:t>
      </w:r>
      <w:r>
        <w:rPr>
          <w:color w:val="231F20"/>
          <w:spacing w:val="-19"/>
        </w:rPr>
        <w:t> </w:t>
      </w:r>
      <w:r>
        <w:rPr>
          <w:color w:val="231F20"/>
        </w:rPr>
        <w:t>the</w:t>
      </w:r>
      <w:r>
        <w:rPr>
          <w:color w:val="231F20"/>
          <w:spacing w:val="-19"/>
        </w:rPr>
        <w:t> </w:t>
      </w:r>
      <w:r>
        <w:rPr>
          <w:color w:val="231F20"/>
        </w:rPr>
        <w:t>drug</w:t>
      </w:r>
      <w:r>
        <w:rPr>
          <w:color w:val="231F20"/>
          <w:spacing w:val="-19"/>
        </w:rPr>
        <w:t> </w:t>
      </w:r>
      <w:r>
        <w:rPr>
          <w:color w:val="231F20"/>
        </w:rPr>
        <w:t>testing</w:t>
      </w:r>
      <w:r>
        <w:rPr>
          <w:color w:val="231F20"/>
          <w:spacing w:val="-19"/>
        </w:rPr>
        <w:t> </w:t>
      </w:r>
      <w:r>
        <w:rPr>
          <w:color w:val="231F20"/>
        </w:rPr>
        <w:t>of</w:t>
      </w:r>
      <w:r>
        <w:rPr>
          <w:color w:val="231F20"/>
          <w:spacing w:val="-19"/>
        </w:rPr>
        <w:t> </w:t>
      </w:r>
      <w:r>
        <w:rPr>
          <w:color w:val="231F20"/>
        </w:rPr>
        <w:t>students </w:t>
      </w:r>
      <w:r>
        <w:rPr>
          <w:color w:val="231F20"/>
          <w:spacing w:val="4"/>
        </w:rPr>
        <w:t>participating </w:t>
      </w:r>
      <w:r>
        <w:rPr>
          <w:color w:val="231F20"/>
          <w:spacing w:val="2"/>
        </w:rPr>
        <w:t>in </w:t>
      </w:r>
      <w:r>
        <w:rPr>
          <w:color w:val="231F20"/>
          <w:spacing w:val="4"/>
        </w:rPr>
        <w:t>athletics </w:t>
      </w:r>
      <w:r>
        <w:rPr>
          <w:color w:val="231F20"/>
          <w:spacing w:val="3"/>
        </w:rPr>
        <w:t>and </w:t>
      </w:r>
      <w:r>
        <w:rPr>
          <w:color w:val="231F20"/>
          <w:spacing w:val="5"/>
        </w:rPr>
        <w:t>extra- </w:t>
      </w:r>
      <w:r>
        <w:rPr>
          <w:color w:val="231F20"/>
        </w:rPr>
        <w:t>curricular</w:t>
      </w:r>
      <w:r>
        <w:rPr>
          <w:color w:val="231F20"/>
          <w:spacing w:val="-23"/>
        </w:rPr>
        <w:t> </w:t>
      </w:r>
      <w:r>
        <w:rPr>
          <w:color w:val="231F20"/>
        </w:rPr>
        <w:t>activities.</w:t>
      </w:r>
      <w:r>
        <w:rPr>
          <w:color w:val="231F20"/>
          <w:spacing w:val="-23"/>
        </w:rPr>
        <w:t> </w:t>
      </w:r>
      <w:r>
        <w:rPr>
          <w:color w:val="231F20"/>
        </w:rPr>
        <w:t>It</w:t>
      </w:r>
      <w:r>
        <w:rPr>
          <w:color w:val="231F20"/>
          <w:spacing w:val="-23"/>
        </w:rPr>
        <w:t> </w:t>
      </w:r>
      <w:r>
        <w:rPr>
          <w:color w:val="231F20"/>
        </w:rPr>
        <w:t>observed</w:t>
      </w:r>
      <w:r>
        <w:rPr>
          <w:color w:val="231F20"/>
          <w:spacing w:val="-23"/>
        </w:rPr>
        <w:t> </w:t>
      </w:r>
      <w:r>
        <w:rPr>
          <w:color w:val="231F20"/>
        </w:rPr>
        <w:t>that</w:t>
      </w:r>
      <w:r>
        <w:rPr>
          <w:color w:val="231F20"/>
          <w:spacing w:val="-23"/>
        </w:rPr>
        <w:t> </w:t>
      </w:r>
      <w:r>
        <w:rPr>
          <w:color w:val="231F20"/>
        </w:rPr>
        <w:t>the prevention and deterrence of student drug use was a special need to justify suspicionless drug testing. The court also recognized that a special need exists when a government employee occupies a safety-sensitive position, where </w:t>
      </w:r>
      <w:r>
        <w:rPr>
          <w:color w:val="231F20"/>
          <w:spacing w:val="2"/>
        </w:rPr>
        <w:t>“‘even </w:t>
      </w:r>
      <w:r>
        <w:rPr>
          <w:color w:val="231F20"/>
        </w:rPr>
        <w:t>a </w:t>
      </w:r>
      <w:r>
        <w:rPr>
          <w:color w:val="231F20"/>
          <w:spacing w:val="2"/>
        </w:rPr>
        <w:t>momentary </w:t>
      </w:r>
      <w:r>
        <w:rPr>
          <w:color w:val="231F20"/>
        </w:rPr>
        <w:t>lapse of attention c[ould] have disastrous con- sequences.’”</w:t>
      </w:r>
      <w:r>
        <w:rPr>
          <w:color w:val="231F20"/>
          <w:position w:val="7"/>
          <w:sz w:val="12"/>
        </w:rPr>
        <w:t>17</w:t>
      </w:r>
      <w:r>
        <w:rPr>
          <w:color w:val="231F20"/>
          <w:spacing w:val="-11"/>
          <w:position w:val="7"/>
          <w:sz w:val="12"/>
        </w:rPr>
        <w:t> </w:t>
      </w:r>
      <w:r>
        <w:rPr>
          <w:color w:val="231F20"/>
        </w:rPr>
        <w:t>The</w:t>
      </w:r>
      <w:r>
        <w:rPr>
          <w:color w:val="231F20"/>
          <w:spacing w:val="-31"/>
        </w:rPr>
        <w:t> </w:t>
      </w:r>
      <w:r>
        <w:rPr>
          <w:color w:val="231F20"/>
        </w:rPr>
        <w:t>Eleventh</w:t>
      </w:r>
      <w:r>
        <w:rPr>
          <w:color w:val="231F20"/>
          <w:spacing w:val="-31"/>
        </w:rPr>
        <w:t> </w:t>
      </w:r>
      <w:r>
        <w:rPr>
          <w:color w:val="231F20"/>
        </w:rPr>
        <w:t>Circuit</w:t>
      </w:r>
      <w:r>
        <w:rPr>
          <w:color w:val="231F20"/>
          <w:spacing w:val="-31"/>
        </w:rPr>
        <w:t> </w:t>
      </w:r>
      <w:r>
        <w:rPr>
          <w:color w:val="231F20"/>
        </w:rPr>
        <w:t>fur- ther observed that the Supreme Court </w:t>
      </w:r>
      <w:r>
        <w:rPr>
          <w:color w:val="231F20"/>
          <w:spacing w:val="4"/>
        </w:rPr>
        <w:t>invalidated </w:t>
      </w:r>
      <w:r>
        <w:rPr>
          <w:color w:val="231F20"/>
        </w:rPr>
        <w:t>a </w:t>
      </w:r>
      <w:r>
        <w:rPr>
          <w:color w:val="231F20"/>
          <w:spacing w:val="4"/>
        </w:rPr>
        <w:t>policy </w:t>
      </w:r>
      <w:r>
        <w:rPr>
          <w:color w:val="231F20"/>
          <w:spacing w:val="2"/>
        </w:rPr>
        <w:t>of </w:t>
      </w:r>
      <w:r>
        <w:rPr>
          <w:color w:val="231F20"/>
          <w:spacing w:val="3"/>
        </w:rPr>
        <w:t>drug </w:t>
      </w:r>
      <w:r>
        <w:rPr>
          <w:color w:val="231F20"/>
          <w:spacing w:val="6"/>
        </w:rPr>
        <w:t>testing </w:t>
      </w:r>
      <w:r>
        <w:rPr>
          <w:color w:val="231F20"/>
        </w:rPr>
        <w:t>elected officials when the government failed to establish a concrete danger or</w:t>
      </w:r>
      <w:r>
        <w:rPr>
          <w:color w:val="231F20"/>
          <w:spacing w:val="-9"/>
        </w:rPr>
        <w:t> </w:t>
      </w:r>
      <w:r>
        <w:rPr>
          <w:color w:val="231F20"/>
        </w:rPr>
        <w:t>to</w:t>
      </w:r>
      <w:r>
        <w:rPr>
          <w:color w:val="231F20"/>
          <w:spacing w:val="-9"/>
        </w:rPr>
        <w:t> </w:t>
      </w:r>
      <w:r>
        <w:rPr>
          <w:color w:val="231F20"/>
        </w:rPr>
        <w:t>demonstrate</w:t>
      </w:r>
      <w:r>
        <w:rPr>
          <w:color w:val="231F20"/>
          <w:spacing w:val="-9"/>
        </w:rPr>
        <w:t> </w:t>
      </w:r>
      <w:r>
        <w:rPr>
          <w:color w:val="231F20"/>
        </w:rPr>
        <w:t>that</w:t>
      </w:r>
      <w:r>
        <w:rPr>
          <w:color w:val="231F20"/>
          <w:spacing w:val="-9"/>
        </w:rPr>
        <w:t> </w:t>
      </w:r>
      <w:r>
        <w:rPr>
          <w:color w:val="231F20"/>
        </w:rPr>
        <w:t>the</w:t>
      </w:r>
      <w:r>
        <w:rPr>
          <w:color w:val="231F20"/>
          <w:spacing w:val="-9"/>
        </w:rPr>
        <w:t> </w:t>
      </w:r>
      <w:r>
        <w:rPr>
          <w:color w:val="231F20"/>
        </w:rPr>
        <w:t>hazards</w:t>
      </w:r>
      <w:r>
        <w:rPr>
          <w:color w:val="231F20"/>
          <w:spacing w:val="-9"/>
        </w:rPr>
        <w:t> </w:t>
      </w:r>
      <w:r>
        <w:rPr>
          <w:color w:val="231F20"/>
        </w:rPr>
        <w:t>as-</w:t>
      </w:r>
    </w:p>
    <w:p>
      <w:pPr>
        <w:pStyle w:val="BodyText"/>
        <w:spacing w:line="254" w:lineRule="auto" w:before="78"/>
        <w:ind w:left="120" w:right="42"/>
        <w:jc w:val="both"/>
        <w:rPr>
          <w:sz w:val="12"/>
        </w:rPr>
      </w:pPr>
      <w:r>
        <w:rPr/>
        <w:br w:type="column"/>
      </w:r>
      <w:r>
        <w:rPr>
          <w:color w:val="231F20"/>
        </w:rPr>
        <w:t>sociated with drug use were “real and not simply hypothetical.’”</w:t>
      </w:r>
      <w:r>
        <w:rPr>
          <w:color w:val="231F20"/>
          <w:position w:val="7"/>
          <w:sz w:val="12"/>
        </w:rPr>
        <w:t>18</w:t>
      </w:r>
    </w:p>
    <w:p>
      <w:pPr>
        <w:pStyle w:val="BodyText"/>
        <w:spacing w:line="254" w:lineRule="auto"/>
        <w:ind w:left="119" w:right="39" w:firstLine="240"/>
        <w:jc w:val="both"/>
      </w:pPr>
      <w:r>
        <w:rPr>
          <w:color w:val="231F20"/>
        </w:rPr>
        <w:t>In affirming the denial of the pre- liminary</w:t>
      </w:r>
      <w:r>
        <w:rPr>
          <w:color w:val="231F20"/>
          <w:spacing w:val="-14"/>
        </w:rPr>
        <w:t> </w:t>
      </w:r>
      <w:r>
        <w:rPr>
          <w:color w:val="231F20"/>
        </w:rPr>
        <w:t>injunction,</w:t>
      </w:r>
      <w:r>
        <w:rPr>
          <w:color w:val="231F20"/>
          <w:spacing w:val="-14"/>
        </w:rPr>
        <w:t> </w:t>
      </w:r>
      <w:r>
        <w:rPr>
          <w:color w:val="231F20"/>
        </w:rPr>
        <w:t>the</w:t>
      </w:r>
      <w:r>
        <w:rPr>
          <w:color w:val="231F20"/>
          <w:spacing w:val="-13"/>
        </w:rPr>
        <w:t> </w:t>
      </w:r>
      <w:r>
        <w:rPr>
          <w:color w:val="231F20"/>
        </w:rPr>
        <w:t>court</w:t>
      </w:r>
      <w:r>
        <w:rPr>
          <w:color w:val="231F20"/>
          <w:spacing w:val="-14"/>
        </w:rPr>
        <w:t> </w:t>
      </w:r>
      <w:r>
        <w:rPr>
          <w:color w:val="231F20"/>
        </w:rPr>
        <w:t>explained that</w:t>
      </w:r>
      <w:r>
        <w:rPr>
          <w:color w:val="231F20"/>
          <w:spacing w:val="-7"/>
        </w:rPr>
        <w:t> </w:t>
      </w:r>
      <w:r>
        <w:rPr>
          <w:color w:val="231F20"/>
        </w:rPr>
        <w:t>this</w:t>
      </w:r>
      <w:r>
        <w:rPr>
          <w:color w:val="231F20"/>
          <w:spacing w:val="-7"/>
        </w:rPr>
        <w:t> </w:t>
      </w:r>
      <w:r>
        <w:rPr>
          <w:color w:val="231F20"/>
        </w:rPr>
        <w:t>case</w:t>
      </w:r>
      <w:r>
        <w:rPr>
          <w:color w:val="231F20"/>
          <w:spacing w:val="-7"/>
        </w:rPr>
        <w:t> </w:t>
      </w:r>
      <w:r>
        <w:rPr>
          <w:color w:val="231F20"/>
        </w:rPr>
        <w:t>was</w:t>
      </w:r>
      <w:r>
        <w:rPr>
          <w:color w:val="231F20"/>
          <w:spacing w:val="-7"/>
        </w:rPr>
        <w:t> </w:t>
      </w:r>
      <w:r>
        <w:rPr>
          <w:color w:val="231F20"/>
        </w:rPr>
        <w:t>at</w:t>
      </w:r>
      <w:r>
        <w:rPr>
          <w:color w:val="231F20"/>
          <w:spacing w:val="-8"/>
        </w:rPr>
        <w:t> </w:t>
      </w:r>
      <w:r>
        <w:rPr>
          <w:color w:val="231F20"/>
        </w:rPr>
        <w:t>the</w:t>
      </w:r>
      <w:r>
        <w:rPr>
          <w:color w:val="231F20"/>
          <w:spacing w:val="-7"/>
        </w:rPr>
        <w:t> </w:t>
      </w:r>
      <w:r>
        <w:rPr>
          <w:color w:val="231F20"/>
        </w:rPr>
        <w:t>crossroads</w:t>
      </w:r>
      <w:r>
        <w:rPr>
          <w:color w:val="231F20"/>
          <w:spacing w:val="-6"/>
        </w:rPr>
        <w:t> </w:t>
      </w:r>
      <w:r>
        <w:rPr>
          <w:color w:val="231F20"/>
        </w:rPr>
        <w:t>of its precedent addressing searches in schools and those cases addressing drug testing of persons in safety-sen- sitive positions. The court first evalu- ated the danger that the drug-testing </w:t>
      </w:r>
      <w:r>
        <w:rPr>
          <w:color w:val="231F20"/>
          <w:spacing w:val="-3"/>
        </w:rPr>
        <w:t>policy</w:t>
      </w:r>
      <w:r>
        <w:rPr>
          <w:color w:val="231F20"/>
          <w:spacing w:val="-18"/>
        </w:rPr>
        <w:t> </w:t>
      </w:r>
      <w:r>
        <w:rPr>
          <w:color w:val="231F20"/>
        </w:rPr>
        <w:t>was</w:t>
      </w:r>
      <w:r>
        <w:rPr>
          <w:color w:val="231F20"/>
          <w:spacing w:val="-18"/>
        </w:rPr>
        <w:t> </w:t>
      </w:r>
      <w:r>
        <w:rPr>
          <w:color w:val="231F20"/>
          <w:spacing w:val="-3"/>
        </w:rPr>
        <w:t>implemented</w:t>
      </w:r>
      <w:r>
        <w:rPr>
          <w:color w:val="231F20"/>
          <w:spacing w:val="-18"/>
        </w:rPr>
        <w:t> </w:t>
      </w:r>
      <w:r>
        <w:rPr>
          <w:color w:val="231F20"/>
        </w:rPr>
        <w:t>to</w:t>
      </w:r>
      <w:r>
        <w:rPr>
          <w:color w:val="231F20"/>
          <w:spacing w:val="-18"/>
        </w:rPr>
        <w:t> </w:t>
      </w:r>
      <w:r>
        <w:rPr>
          <w:color w:val="231F20"/>
          <w:spacing w:val="-3"/>
        </w:rPr>
        <w:t>address</w:t>
      </w:r>
      <w:r>
        <w:rPr>
          <w:color w:val="231F20"/>
          <w:spacing w:val="-18"/>
        </w:rPr>
        <w:t> </w:t>
      </w:r>
      <w:r>
        <w:rPr>
          <w:color w:val="231F20"/>
          <w:spacing w:val="-3"/>
        </w:rPr>
        <w:t>and </w:t>
      </w:r>
      <w:r>
        <w:rPr>
          <w:color w:val="231F20"/>
        </w:rPr>
        <w:t>found that this danger was significant and</w:t>
      </w:r>
      <w:r>
        <w:rPr>
          <w:color w:val="231F20"/>
          <w:spacing w:val="-10"/>
        </w:rPr>
        <w:t> </w:t>
      </w:r>
      <w:r>
        <w:rPr>
          <w:color w:val="231F20"/>
        </w:rPr>
        <w:t>concrete.</w:t>
      </w:r>
      <w:r>
        <w:rPr>
          <w:color w:val="231F20"/>
          <w:spacing w:val="-9"/>
        </w:rPr>
        <w:t> </w:t>
      </w:r>
      <w:r>
        <w:rPr>
          <w:color w:val="231F20"/>
        </w:rPr>
        <w:t>While</w:t>
      </w:r>
      <w:r>
        <w:rPr>
          <w:color w:val="231F20"/>
          <w:spacing w:val="-10"/>
        </w:rPr>
        <w:t> </w:t>
      </w:r>
      <w:r>
        <w:rPr>
          <w:color w:val="231F20"/>
        </w:rPr>
        <w:t>recognizing</w:t>
      </w:r>
      <w:r>
        <w:rPr>
          <w:color w:val="231F20"/>
          <w:spacing w:val="-9"/>
        </w:rPr>
        <w:t> </w:t>
      </w:r>
      <w:r>
        <w:rPr>
          <w:color w:val="231F20"/>
        </w:rPr>
        <w:t>that</w:t>
      </w:r>
      <w:r>
        <w:rPr>
          <w:color w:val="231F20"/>
          <w:spacing w:val="-9"/>
        </w:rPr>
        <w:t> </w:t>
      </w:r>
      <w:r>
        <w:rPr>
          <w:color w:val="231F20"/>
        </w:rPr>
        <w:t>a teacher</w:t>
      </w:r>
      <w:r>
        <w:rPr>
          <w:color w:val="231F20"/>
          <w:spacing w:val="-16"/>
        </w:rPr>
        <w:t> </w:t>
      </w:r>
      <w:r>
        <w:rPr>
          <w:color w:val="231F20"/>
        </w:rPr>
        <w:t>does</w:t>
      </w:r>
      <w:r>
        <w:rPr>
          <w:color w:val="231F20"/>
          <w:spacing w:val="-15"/>
        </w:rPr>
        <w:t> </w:t>
      </w:r>
      <w:r>
        <w:rPr>
          <w:color w:val="231F20"/>
        </w:rPr>
        <w:t>not</w:t>
      </w:r>
      <w:r>
        <w:rPr>
          <w:color w:val="231F20"/>
          <w:spacing w:val="-16"/>
        </w:rPr>
        <w:t> </w:t>
      </w:r>
      <w:r>
        <w:rPr>
          <w:color w:val="231F20"/>
        </w:rPr>
        <w:t>hold</w:t>
      </w:r>
      <w:r>
        <w:rPr>
          <w:color w:val="231F20"/>
          <w:spacing w:val="-15"/>
        </w:rPr>
        <w:t> </w:t>
      </w:r>
      <w:r>
        <w:rPr>
          <w:color w:val="231F20"/>
        </w:rPr>
        <w:t>the</w:t>
      </w:r>
      <w:r>
        <w:rPr>
          <w:color w:val="231F20"/>
          <w:spacing w:val="-15"/>
        </w:rPr>
        <w:t> </w:t>
      </w:r>
      <w:r>
        <w:rPr>
          <w:color w:val="231F20"/>
        </w:rPr>
        <w:t>same</w:t>
      </w:r>
      <w:r>
        <w:rPr>
          <w:color w:val="231F20"/>
          <w:spacing w:val="-16"/>
        </w:rPr>
        <w:t> </w:t>
      </w:r>
      <w:r>
        <w:rPr>
          <w:color w:val="231F20"/>
        </w:rPr>
        <w:t>type</w:t>
      </w:r>
      <w:r>
        <w:rPr>
          <w:color w:val="231F20"/>
          <w:spacing w:val="-15"/>
        </w:rPr>
        <w:t> </w:t>
      </w:r>
      <w:r>
        <w:rPr>
          <w:color w:val="231F20"/>
        </w:rPr>
        <w:t>of safety-sensitive position as a railroad </w:t>
      </w:r>
      <w:r>
        <w:rPr>
          <w:color w:val="231F20"/>
          <w:spacing w:val="-2"/>
        </w:rPr>
        <w:t>operator, </w:t>
      </w:r>
      <w:r>
        <w:rPr>
          <w:color w:val="231F20"/>
        </w:rPr>
        <w:t>the court concluded that the position was sufficiently safety-sensi- tive</w:t>
      </w:r>
      <w:r>
        <w:rPr>
          <w:color w:val="231F20"/>
          <w:spacing w:val="-11"/>
        </w:rPr>
        <w:t> </w:t>
      </w:r>
      <w:r>
        <w:rPr>
          <w:color w:val="231F20"/>
        </w:rPr>
        <w:t>because</w:t>
      </w:r>
      <w:r>
        <w:rPr>
          <w:color w:val="231F20"/>
          <w:spacing w:val="-11"/>
        </w:rPr>
        <w:t> </w:t>
      </w:r>
      <w:r>
        <w:rPr>
          <w:color w:val="231F20"/>
        </w:rPr>
        <w:t>“guaranteeing</w:t>
      </w:r>
      <w:r>
        <w:rPr>
          <w:color w:val="231F20"/>
          <w:spacing w:val="-11"/>
        </w:rPr>
        <w:t> </w:t>
      </w:r>
      <w:r>
        <w:rPr>
          <w:color w:val="231F20"/>
        </w:rPr>
        <w:t>a</w:t>
      </w:r>
      <w:r>
        <w:rPr>
          <w:color w:val="231F20"/>
          <w:spacing w:val="-10"/>
        </w:rPr>
        <w:t> </w:t>
      </w:r>
      <w:r>
        <w:rPr>
          <w:color w:val="231F20"/>
        </w:rPr>
        <w:t>safe</w:t>
      </w:r>
      <w:r>
        <w:rPr>
          <w:color w:val="231F20"/>
          <w:spacing w:val="-11"/>
        </w:rPr>
        <w:t> </w:t>
      </w:r>
      <w:r>
        <w:rPr>
          <w:color w:val="231F20"/>
        </w:rPr>
        <w:t>and </w:t>
      </w:r>
      <w:r>
        <w:rPr>
          <w:color w:val="231F20"/>
          <w:spacing w:val="-3"/>
        </w:rPr>
        <w:t>effective</w:t>
      </w:r>
      <w:r>
        <w:rPr>
          <w:color w:val="231F20"/>
          <w:spacing w:val="-18"/>
        </w:rPr>
        <w:t> </w:t>
      </w:r>
      <w:r>
        <w:rPr>
          <w:color w:val="231F20"/>
          <w:spacing w:val="-3"/>
        </w:rPr>
        <w:t>learning</w:t>
      </w:r>
      <w:r>
        <w:rPr>
          <w:color w:val="231F20"/>
          <w:spacing w:val="-17"/>
        </w:rPr>
        <w:t> </w:t>
      </w:r>
      <w:r>
        <w:rPr>
          <w:color w:val="231F20"/>
          <w:spacing w:val="-3"/>
        </w:rPr>
        <w:t>environment</w:t>
      </w:r>
      <w:r>
        <w:rPr>
          <w:color w:val="231F20"/>
          <w:spacing w:val="-18"/>
        </w:rPr>
        <w:t> </w:t>
      </w:r>
      <w:r>
        <w:rPr>
          <w:color w:val="231F20"/>
          <w:spacing w:val="-3"/>
        </w:rPr>
        <w:t>presents </w:t>
      </w:r>
      <w:r>
        <w:rPr>
          <w:color w:val="231F20"/>
        </w:rPr>
        <w:t>a compelling need to justify</w:t>
      </w:r>
      <w:r>
        <w:rPr>
          <w:color w:val="231F20"/>
          <w:spacing w:val="-19"/>
        </w:rPr>
        <w:t> </w:t>
      </w:r>
      <w:r>
        <w:rPr>
          <w:color w:val="231F20"/>
        </w:rPr>
        <w:t>suspicion- less drug testing.”</w:t>
      </w:r>
      <w:r>
        <w:rPr>
          <w:color w:val="231F20"/>
          <w:position w:val="7"/>
          <w:sz w:val="12"/>
        </w:rPr>
        <w:t>19 </w:t>
      </w:r>
      <w:r>
        <w:rPr>
          <w:color w:val="231F20"/>
          <w:spacing w:val="-3"/>
        </w:rPr>
        <w:t>Danger, </w:t>
      </w:r>
      <w:r>
        <w:rPr>
          <w:color w:val="231F20"/>
        </w:rPr>
        <w:t>said the court, can be measured by the likeli- hood</w:t>
      </w:r>
      <w:r>
        <w:rPr>
          <w:color w:val="231F20"/>
          <w:spacing w:val="-11"/>
        </w:rPr>
        <w:t> </w:t>
      </w:r>
      <w:r>
        <w:rPr>
          <w:color w:val="231F20"/>
        </w:rPr>
        <w:t>that</w:t>
      </w:r>
      <w:r>
        <w:rPr>
          <w:color w:val="231F20"/>
          <w:spacing w:val="-10"/>
        </w:rPr>
        <w:t> </w:t>
      </w:r>
      <w:r>
        <w:rPr>
          <w:color w:val="231F20"/>
        </w:rPr>
        <w:t>a</w:t>
      </w:r>
      <w:r>
        <w:rPr>
          <w:color w:val="231F20"/>
          <w:spacing w:val="-11"/>
        </w:rPr>
        <w:t> </w:t>
      </w:r>
      <w:r>
        <w:rPr>
          <w:color w:val="231F20"/>
        </w:rPr>
        <w:t>teacher</w:t>
      </w:r>
      <w:r>
        <w:rPr>
          <w:color w:val="231F20"/>
          <w:spacing w:val="-10"/>
        </w:rPr>
        <w:t> </w:t>
      </w:r>
      <w:r>
        <w:rPr>
          <w:color w:val="231F20"/>
        </w:rPr>
        <w:t>will</w:t>
      </w:r>
      <w:r>
        <w:rPr>
          <w:color w:val="231F20"/>
          <w:spacing w:val="-11"/>
        </w:rPr>
        <w:t> </w:t>
      </w:r>
      <w:r>
        <w:rPr>
          <w:color w:val="231F20"/>
        </w:rPr>
        <w:t>be</w:t>
      </w:r>
      <w:r>
        <w:rPr>
          <w:color w:val="231F20"/>
          <w:spacing w:val="-11"/>
        </w:rPr>
        <w:t> </w:t>
      </w:r>
      <w:r>
        <w:rPr>
          <w:color w:val="231F20"/>
        </w:rPr>
        <w:t>intoxicated, the likelihood that a dangerous situa- tion will arise to which the intoxicated teacher</w:t>
      </w:r>
      <w:r>
        <w:rPr>
          <w:color w:val="231F20"/>
          <w:spacing w:val="-25"/>
        </w:rPr>
        <w:t> </w:t>
      </w:r>
      <w:r>
        <w:rPr>
          <w:color w:val="231F20"/>
        </w:rPr>
        <w:t>cannot</w:t>
      </w:r>
      <w:r>
        <w:rPr>
          <w:color w:val="231F20"/>
          <w:spacing w:val="-24"/>
        </w:rPr>
        <w:t> </w:t>
      </w:r>
      <w:r>
        <w:rPr>
          <w:color w:val="231F20"/>
          <w:spacing w:val="-3"/>
        </w:rPr>
        <w:t>effectively</w:t>
      </w:r>
      <w:r>
        <w:rPr>
          <w:color w:val="231F20"/>
          <w:spacing w:val="-24"/>
        </w:rPr>
        <w:t> </w:t>
      </w:r>
      <w:r>
        <w:rPr>
          <w:color w:val="231F20"/>
        </w:rPr>
        <w:t>respond,</w:t>
      </w:r>
      <w:r>
        <w:rPr>
          <w:color w:val="231F20"/>
          <w:spacing w:val="-24"/>
        </w:rPr>
        <w:t> </w:t>
      </w:r>
      <w:r>
        <w:rPr>
          <w:color w:val="231F20"/>
          <w:spacing w:val="-2"/>
        </w:rPr>
        <w:t>and </w:t>
      </w:r>
      <w:r>
        <w:rPr>
          <w:color w:val="231F20"/>
        </w:rPr>
        <w:t>the</w:t>
      </w:r>
      <w:r>
        <w:rPr>
          <w:color w:val="231F20"/>
          <w:spacing w:val="-19"/>
        </w:rPr>
        <w:t> </w:t>
      </w:r>
      <w:r>
        <w:rPr>
          <w:color w:val="231F20"/>
        </w:rPr>
        <w:t>gravity</w:t>
      </w:r>
      <w:r>
        <w:rPr>
          <w:color w:val="231F20"/>
          <w:spacing w:val="-19"/>
        </w:rPr>
        <w:t> </w:t>
      </w:r>
      <w:r>
        <w:rPr>
          <w:color w:val="231F20"/>
        </w:rPr>
        <w:t>of</w:t>
      </w:r>
      <w:r>
        <w:rPr>
          <w:color w:val="231F20"/>
          <w:spacing w:val="-20"/>
        </w:rPr>
        <w:t> </w:t>
      </w:r>
      <w:r>
        <w:rPr>
          <w:color w:val="231F20"/>
        </w:rPr>
        <w:t>harm</w:t>
      </w:r>
      <w:r>
        <w:rPr>
          <w:color w:val="231F20"/>
          <w:spacing w:val="-19"/>
        </w:rPr>
        <w:t> </w:t>
      </w:r>
      <w:r>
        <w:rPr>
          <w:color w:val="231F20"/>
        </w:rPr>
        <w:t>resulting</w:t>
      </w:r>
      <w:r>
        <w:rPr>
          <w:color w:val="231F20"/>
          <w:spacing w:val="-19"/>
        </w:rPr>
        <w:t> </w:t>
      </w:r>
      <w:r>
        <w:rPr>
          <w:color w:val="231F20"/>
        </w:rPr>
        <w:t>from</w:t>
      </w:r>
      <w:r>
        <w:rPr>
          <w:color w:val="231F20"/>
          <w:spacing w:val="-18"/>
        </w:rPr>
        <w:t> </w:t>
      </w:r>
      <w:r>
        <w:rPr>
          <w:color w:val="231F20"/>
        </w:rPr>
        <w:t>an</w:t>
      </w:r>
      <w:r>
        <w:rPr>
          <w:color w:val="231F20"/>
          <w:spacing w:val="-20"/>
        </w:rPr>
        <w:t> </w:t>
      </w:r>
      <w:r>
        <w:rPr>
          <w:color w:val="231F20"/>
        </w:rPr>
        <w:t>in- effective</w:t>
      </w:r>
      <w:r>
        <w:rPr>
          <w:color w:val="231F20"/>
          <w:spacing w:val="-8"/>
        </w:rPr>
        <w:t> </w:t>
      </w:r>
      <w:r>
        <w:rPr>
          <w:color w:val="231F20"/>
        </w:rPr>
        <w:t>response.</w:t>
      </w:r>
      <w:r>
        <w:rPr>
          <w:color w:val="231F20"/>
          <w:spacing w:val="-18"/>
        </w:rPr>
        <w:t> </w:t>
      </w:r>
      <w:r>
        <w:rPr>
          <w:color w:val="231F20"/>
        </w:rPr>
        <w:t>All</w:t>
      </w:r>
      <w:r>
        <w:rPr>
          <w:color w:val="231F20"/>
          <w:spacing w:val="-7"/>
        </w:rPr>
        <w:t> </w:t>
      </w:r>
      <w:r>
        <w:rPr>
          <w:color w:val="231F20"/>
        </w:rPr>
        <w:t>three</w:t>
      </w:r>
      <w:r>
        <w:rPr>
          <w:color w:val="231F20"/>
          <w:spacing w:val="-8"/>
        </w:rPr>
        <w:t> </w:t>
      </w:r>
      <w:r>
        <w:rPr>
          <w:color w:val="231F20"/>
        </w:rPr>
        <w:t>factors</w:t>
      </w:r>
      <w:r>
        <w:rPr>
          <w:color w:val="231F20"/>
          <w:spacing w:val="-7"/>
        </w:rPr>
        <w:t> </w:t>
      </w:r>
      <w:r>
        <w:rPr>
          <w:color w:val="231F20"/>
        </w:rPr>
        <w:t>do not</w:t>
      </w:r>
      <w:r>
        <w:rPr>
          <w:color w:val="231F20"/>
          <w:spacing w:val="-18"/>
        </w:rPr>
        <w:t> </w:t>
      </w:r>
      <w:r>
        <w:rPr>
          <w:color w:val="231F20"/>
        </w:rPr>
        <w:t>have</w:t>
      </w:r>
      <w:r>
        <w:rPr>
          <w:color w:val="231F20"/>
          <w:spacing w:val="-17"/>
        </w:rPr>
        <w:t> </w:t>
      </w:r>
      <w:r>
        <w:rPr>
          <w:color w:val="231F20"/>
        </w:rPr>
        <w:t>to</w:t>
      </w:r>
      <w:r>
        <w:rPr>
          <w:color w:val="231F20"/>
          <w:spacing w:val="-17"/>
        </w:rPr>
        <w:t> </w:t>
      </w:r>
      <w:r>
        <w:rPr>
          <w:color w:val="231F20"/>
        </w:rPr>
        <w:t>be</w:t>
      </w:r>
      <w:r>
        <w:rPr>
          <w:color w:val="231F20"/>
          <w:spacing w:val="-17"/>
        </w:rPr>
        <w:t> </w:t>
      </w:r>
      <w:r>
        <w:rPr>
          <w:color w:val="231F20"/>
        </w:rPr>
        <w:t>present</w:t>
      </w:r>
      <w:r>
        <w:rPr>
          <w:color w:val="231F20"/>
          <w:spacing w:val="-18"/>
        </w:rPr>
        <w:t> </w:t>
      </w:r>
      <w:r>
        <w:rPr>
          <w:color w:val="231F20"/>
        </w:rPr>
        <w:t>in</w:t>
      </w:r>
      <w:r>
        <w:rPr>
          <w:color w:val="231F20"/>
          <w:spacing w:val="-17"/>
        </w:rPr>
        <w:t> </w:t>
      </w:r>
      <w:r>
        <w:rPr>
          <w:color w:val="231F20"/>
        </w:rPr>
        <w:t>order</w:t>
      </w:r>
      <w:r>
        <w:rPr>
          <w:color w:val="231F20"/>
          <w:spacing w:val="-17"/>
        </w:rPr>
        <w:t> </w:t>
      </w:r>
      <w:r>
        <w:rPr>
          <w:color w:val="231F20"/>
        </w:rPr>
        <w:t>to</w:t>
      </w:r>
      <w:r>
        <w:rPr>
          <w:color w:val="231F20"/>
          <w:spacing w:val="-17"/>
        </w:rPr>
        <w:t> </w:t>
      </w:r>
      <w:r>
        <w:rPr>
          <w:color w:val="231F20"/>
        </w:rPr>
        <w:t>find</w:t>
      </w:r>
      <w:r>
        <w:rPr>
          <w:color w:val="231F20"/>
          <w:spacing w:val="-18"/>
        </w:rPr>
        <w:t> </w:t>
      </w:r>
      <w:r>
        <w:rPr>
          <w:color w:val="231F20"/>
        </w:rPr>
        <w:t>a danger</w:t>
      </w:r>
      <w:r>
        <w:rPr>
          <w:color w:val="231F20"/>
          <w:spacing w:val="-10"/>
        </w:rPr>
        <w:t> </w:t>
      </w:r>
      <w:r>
        <w:rPr>
          <w:color w:val="231F20"/>
        </w:rPr>
        <w:t>sufficiently</w:t>
      </w:r>
      <w:r>
        <w:rPr>
          <w:color w:val="231F20"/>
          <w:spacing w:val="-9"/>
        </w:rPr>
        <w:t> </w:t>
      </w:r>
      <w:r>
        <w:rPr>
          <w:color w:val="231F20"/>
        </w:rPr>
        <w:t>concrete</w:t>
      </w:r>
      <w:r>
        <w:rPr>
          <w:color w:val="231F20"/>
          <w:spacing w:val="-9"/>
        </w:rPr>
        <w:t> </w:t>
      </w:r>
      <w:r>
        <w:rPr>
          <w:color w:val="231F20"/>
        </w:rPr>
        <w:t>to</w:t>
      </w:r>
      <w:r>
        <w:rPr>
          <w:color w:val="231F20"/>
          <w:spacing w:val="-9"/>
        </w:rPr>
        <w:t> </w:t>
      </w:r>
      <w:r>
        <w:rPr>
          <w:color w:val="231F20"/>
        </w:rPr>
        <w:t>justify</w:t>
      </w:r>
      <w:r>
        <w:rPr>
          <w:color w:val="231F20"/>
          <w:spacing w:val="-9"/>
        </w:rPr>
        <w:t> </w:t>
      </w:r>
      <w:r>
        <w:rPr>
          <w:color w:val="231F20"/>
        </w:rPr>
        <w:t>a suspicionless</w:t>
      </w:r>
      <w:r>
        <w:rPr>
          <w:color w:val="231F20"/>
          <w:spacing w:val="-24"/>
        </w:rPr>
        <w:t> </w:t>
      </w:r>
      <w:r>
        <w:rPr>
          <w:color w:val="231F20"/>
        </w:rPr>
        <w:t>search.</w:t>
      </w:r>
      <w:r>
        <w:rPr>
          <w:color w:val="231F20"/>
          <w:spacing w:val="-33"/>
        </w:rPr>
        <w:t> </w:t>
      </w:r>
      <w:r>
        <w:rPr>
          <w:color w:val="231F20"/>
        </w:rPr>
        <w:t>A</w:t>
      </w:r>
      <w:r>
        <w:rPr>
          <w:color w:val="231F20"/>
          <w:spacing w:val="-33"/>
        </w:rPr>
        <w:t> </w:t>
      </w:r>
      <w:r>
        <w:rPr>
          <w:color w:val="231F20"/>
        </w:rPr>
        <w:t>serious</w:t>
      </w:r>
      <w:r>
        <w:rPr>
          <w:color w:val="231F20"/>
          <w:spacing w:val="-24"/>
        </w:rPr>
        <w:t> </w:t>
      </w:r>
      <w:r>
        <w:rPr>
          <w:color w:val="231F20"/>
        </w:rPr>
        <w:t>danger can</w:t>
      </w:r>
      <w:r>
        <w:rPr>
          <w:color w:val="231F20"/>
          <w:spacing w:val="-23"/>
        </w:rPr>
        <w:t> </w:t>
      </w:r>
      <w:r>
        <w:rPr>
          <w:color w:val="231F20"/>
        </w:rPr>
        <w:t>be</w:t>
      </w:r>
      <w:r>
        <w:rPr>
          <w:color w:val="231F20"/>
          <w:spacing w:val="-23"/>
        </w:rPr>
        <w:t> </w:t>
      </w:r>
      <w:r>
        <w:rPr>
          <w:color w:val="231F20"/>
        </w:rPr>
        <w:t>found</w:t>
      </w:r>
      <w:r>
        <w:rPr>
          <w:color w:val="231F20"/>
          <w:spacing w:val="-22"/>
        </w:rPr>
        <w:t> </w:t>
      </w:r>
      <w:r>
        <w:rPr>
          <w:color w:val="231F20"/>
        </w:rPr>
        <w:t>even</w:t>
      </w:r>
      <w:r>
        <w:rPr>
          <w:color w:val="231F20"/>
          <w:spacing w:val="-23"/>
        </w:rPr>
        <w:t> </w:t>
      </w:r>
      <w:r>
        <w:rPr>
          <w:color w:val="231F20"/>
        </w:rPr>
        <w:t>when</w:t>
      </w:r>
      <w:r>
        <w:rPr>
          <w:color w:val="231F20"/>
          <w:spacing w:val="-23"/>
        </w:rPr>
        <w:t> </w:t>
      </w:r>
      <w:r>
        <w:rPr>
          <w:color w:val="231F20"/>
        </w:rPr>
        <w:t>the</w:t>
      </w:r>
      <w:r>
        <w:rPr>
          <w:color w:val="231F20"/>
          <w:spacing w:val="-22"/>
        </w:rPr>
        <w:t> </w:t>
      </w:r>
      <w:r>
        <w:rPr>
          <w:color w:val="231F20"/>
        </w:rPr>
        <w:t>probability of intoxication is</w:t>
      </w:r>
      <w:r>
        <w:rPr>
          <w:color w:val="231F20"/>
          <w:spacing w:val="-4"/>
        </w:rPr>
        <w:t> low.</w:t>
      </w:r>
    </w:p>
    <w:p>
      <w:pPr>
        <w:pStyle w:val="BodyText"/>
        <w:spacing w:line="254" w:lineRule="auto" w:before="1"/>
        <w:ind w:left="119" w:right="38" w:firstLine="180"/>
        <w:jc w:val="both"/>
      </w:pPr>
      <w:r>
        <w:rPr>
          <w:color w:val="231F20"/>
          <w:spacing w:val="7"/>
        </w:rPr>
        <w:t>The </w:t>
      </w:r>
      <w:r>
        <w:rPr>
          <w:color w:val="231F20"/>
          <w:spacing w:val="8"/>
        </w:rPr>
        <w:t>court </w:t>
      </w:r>
      <w:r>
        <w:rPr>
          <w:color w:val="231F20"/>
          <w:spacing w:val="9"/>
        </w:rPr>
        <w:t>recognized </w:t>
      </w:r>
      <w:r>
        <w:rPr>
          <w:color w:val="231F20"/>
          <w:spacing w:val="8"/>
        </w:rPr>
        <w:t>that </w:t>
      </w:r>
      <w:r>
        <w:rPr>
          <w:color w:val="231F20"/>
          <w:spacing w:val="9"/>
        </w:rPr>
        <w:t>seri- </w:t>
      </w:r>
      <w:r>
        <w:rPr>
          <w:color w:val="231F20"/>
        </w:rPr>
        <w:t>ous emergencies frequently arise in schools, and teachers, who are on</w:t>
      </w:r>
      <w:r>
        <w:rPr>
          <w:color w:val="231F20"/>
          <w:spacing w:val="-31"/>
        </w:rPr>
        <w:t> </w:t>
      </w:r>
      <w:r>
        <w:rPr>
          <w:color w:val="231F20"/>
        </w:rPr>
        <w:t>the front lines, have the responsibility to keep children safe: “[A]n obvious and basic</w:t>
      </w:r>
      <w:r>
        <w:rPr>
          <w:color w:val="231F20"/>
          <w:spacing w:val="-26"/>
        </w:rPr>
        <w:t> </w:t>
      </w:r>
      <w:r>
        <w:rPr>
          <w:color w:val="231F20"/>
        </w:rPr>
        <w:t>step</w:t>
      </w:r>
      <w:r>
        <w:rPr>
          <w:color w:val="231F20"/>
          <w:spacing w:val="-25"/>
        </w:rPr>
        <w:t> </w:t>
      </w:r>
      <w:r>
        <w:rPr>
          <w:color w:val="231F20"/>
        </w:rPr>
        <w:t>necessary</w:t>
      </w:r>
      <w:r>
        <w:rPr>
          <w:color w:val="231F20"/>
          <w:spacing w:val="-26"/>
        </w:rPr>
        <w:t> </w:t>
      </w:r>
      <w:r>
        <w:rPr>
          <w:color w:val="231F20"/>
        </w:rPr>
        <w:t>to</w:t>
      </w:r>
      <w:r>
        <w:rPr>
          <w:color w:val="231F20"/>
          <w:spacing w:val="-25"/>
        </w:rPr>
        <w:t> </w:t>
      </w:r>
      <w:r>
        <w:rPr>
          <w:color w:val="231F20"/>
        </w:rPr>
        <w:t>ensure</w:t>
      </w:r>
      <w:r>
        <w:rPr>
          <w:color w:val="231F20"/>
          <w:spacing w:val="-25"/>
        </w:rPr>
        <w:t> </w:t>
      </w:r>
      <w:r>
        <w:rPr>
          <w:color w:val="231F20"/>
        </w:rPr>
        <w:t>student safety is ensuring that the guardian in closest daily contact with students is able</w:t>
      </w:r>
      <w:r>
        <w:rPr>
          <w:color w:val="231F20"/>
          <w:spacing w:val="-10"/>
        </w:rPr>
        <w:t> </w:t>
      </w:r>
      <w:r>
        <w:rPr>
          <w:color w:val="231F20"/>
        </w:rPr>
        <w:t>to</w:t>
      </w:r>
      <w:r>
        <w:rPr>
          <w:color w:val="231F20"/>
          <w:spacing w:val="-10"/>
        </w:rPr>
        <w:t> </w:t>
      </w:r>
      <w:r>
        <w:rPr>
          <w:color w:val="231F20"/>
        </w:rPr>
        <w:t>respond,</w:t>
      </w:r>
      <w:r>
        <w:rPr>
          <w:color w:val="231F20"/>
          <w:spacing w:val="-10"/>
        </w:rPr>
        <w:t> </w:t>
      </w:r>
      <w:r>
        <w:rPr>
          <w:color w:val="231F20"/>
        </w:rPr>
        <w:t>and</w:t>
      </w:r>
      <w:r>
        <w:rPr>
          <w:color w:val="231F20"/>
          <w:spacing w:val="-10"/>
        </w:rPr>
        <w:t> </w:t>
      </w:r>
      <w:r>
        <w:rPr>
          <w:color w:val="231F20"/>
        </w:rPr>
        <w:t>to</w:t>
      </w:r>
      <w:r>
        <w:rPr>
          <w:color w:val="231F20"/>
          <w:spacing w:val="-10"/>
        </w:rPr>
        <w:t> </w:t>
      </w:r>
      <w:r>
        <w:rPr>
          <w:color w:val="231F20"/>
        </w:rPr>
        <w:t>do</w:t>
      </w:r>
      <w:r>
        <w:rPr>
          <w:color w:val="231F20"/>
          <w:spacing w:val="-10"/>
        </w:rPr>
        <w:t> </w:t>
      </w:r>
      <w:r>
        <w:rPr>
          <w:color w:val="231F20"/>
        </w:rPr>
        <w:t>so</w:t>
      </w:r>
      <w:r>
        <w:rPr>
          <w:color w:val="231F20"/>
          <w:spacing w:val="-10"/>
        </w:rPr>
        <w:t> </w:t>
      </w:r>
      <w:r>
        <w:rPr>
          <w:color w:val="231F20"/>
        </w:rPr>
        <w:t>promptly and without any cognitive or physical impairment.”</w:t>
      </w:r>
      <w:r>
        <w:rPr>
          <w:color w:val="231F20"/>
          <w:position w:val="7"/>
          <w:sz w:val="12"/>
        </w:rPr>
        <w:t>20</w:t>
      </w:r>
      <w:r>
        <w:rPr>
          <w:color w:val="231F20"/>
          <w:spacing w:val="8"/>
          <w:position w:val="7"/>
          <w:sz w:val="12"/>
        </w:rPr>
        <w:t> </w:t>
      </w:r>
      <w:r>
        <w:rPr>
          <w:color w:val="231F20"/>
        </w:rPr>
        <w:t>It</w:t>
      </w:r>
      <w:r>
        <w:rPr>
          <w:color w:val="231F20"/>
          <w:spacing w:val="-14"/>
        </w:rPr>
        <w:t> </w:t>
      </w:r>
      <w:r>
        <w:rPr>
          <w:color w:val="231F20"/>
        </w:rPr>
        <w:t>was</w:t>
      </w:r>
      <w:r>
        <w:rPr>
          <w:color w:val="231F20"/>
          <w:spacing w:val="-14"/>
        </w:rPr>
        <w:t> </w:t>
      </w:r>
      <w:r>
        <w:rPr>
          <w:color w:val="231F20"/>
        </w:rPr>
        <w:t>not</w:t>
      </w:r>
      <w:r>
        <w:rPr>
          <w:color w:val="231F20"/>
          <w:spacing w:val="-14"/>
        </w:rPr>
        <w:t> </w:t>
      </w:r>
      <w:r>
        <w:rPr>
          <w:color w:val="231F20"/>
        </w:rPr>
        <w:t>rank</w:t>
      </w:r>
      <w:r>
        <w:rPr>
          <w:color w:val="231F20"/>
          <w:spacing w:val="-13"/>
        </w:rPr>
        <w:t> </w:t>
      </w:r>
      <w:r>
        <w:rPr>
          <w:color w:val="231F20"/>
        </w:rPr>
        <w:t>specula- tion</w:t>
      </w:r>
      <w:r>
        <w:rPr>
          <w:color w:val="231F20"/>
          <w:spacing w:val="-15"/>
        </w:rPr>
        <w:t> </w:t>
      </w:r>
      <w:r>
        <w:rPr>
          <w:color w:val="231F20"/>
        </w:rPr>
        <w:t>to</w:t>
      </w:r>
      <w:r>
        <w:rPr>
          <w:color w:val="231F20"/>
          <w:spacing w:val="-14"/>
        </w:rPr>
        <w:t> </w:t>
      </w:r>
      <w:r>
        <w:rPr>
          <w:color w:val="231F20"/>
        </w:rPr>
        <w:t>conclude</w:t>
      </w:r>
      <w:r>
        <w:rPr>
          <w:color w:val="231F20"/>
          <w:spacing w:val="-14"/>
        </w:rPr>
        <w:t> </w:t>
      </w:r>
      <w:r>
        <w:rPr>
          <w:color w:val="231F20"/>
        </w:rPr>
        <w:t>that</w:t>
      </w:r>
      <w:r>
        <w:rPr>
          <w:color w:val="231F20"/>
          <w:spacing w:val="-14"/>
        </w:rPr>
        <w:t> </w:t>
      </w:r>
      <w:r>
        <w:rPr>
          <w:color w:val="231F20"/>
        </w:rPr>
        <w:t>teachers</w:t>
      </w:r>
      <w:r>
        <w:rPr>
          <w:color w:val="231F20"/>
          <w:spacing w:val="-14"/>
        </w:rPr>
        <w:t> </w:t>
      </w:r>
      <w:r>
        <w:rPr>
          <w:color w:val="231F20"/>
        </w:rPr>
        <w:t>will</w:t>
      </w:r>
      <w:r>
        <w:rPr>
          <w:color w:val="231F20"/>
          <w:spacing w:val="-14"/>
        </w:rPr>
        <w:t> </w:t>
      </w:r>
      <w:r>
        <w:rPr>
          <w:color w:val="231F20"/>
        </w:rPr>
        <w:t>have to handle emergencies. As the court noted, children get sick, have danger- </w:t>
      </w:r>
      <w:r>
        <w:rPr>
          <w:color w:val="231F20"/>
          <w:spacing w:val="3"/>
        </w:rPr>
        <w:t>ous </w:t>
      </w:r>
      <w:r>
        <w:rPr>
          <w:color w:val="231F20"/>
          <w:spacing w:val="4"/>
        </w:rPr>
        <w:t>allergic reactions, </w:t>
      </w:r>
      <w:r>
        <w:rPr>
          <w:color w:val="231F20"/>
          <w:spacing w:val="3"/>
        </w:rPr>
        <w:t>and get into </w:t>
      </w:r>
      <w:r>
        <w:rPr>
          <w:color w:val="231F20"/>
        </w:rPr>
        <w:t>fights. It also observed that, tragically, “[s]chool shootings are a real and pal- pable possibility.”</w:t>
      </w:r>
      <w:r>
        <w:rPr>
          <w:color w:val="231F20"/>
          <w:position w:val="7"/>
          <w:sz w:val="12"/>
        </w:rPr>
        <w:t>21 </w:t>
      </w:r>
      <w:r>
        <w:rPr>
          <w:color w:val="231F20"/>
        </w:rPr>
        <w:t>In such situations, the</w:t>
      </w:r>
      <w:r>
        <w:rPr>
          <w:color w:val="231F20"/>
          <w:spacing w:val="-27"/>
        </w:rPr>
        <w:t> </w:t>
      </w:r>
      <w:r>
        <w:rPr>
          <w:color w:val="231F20"/>
        </w:rPr>
        <w:t>court</w:t>
      </w:r>
      <w:r>
        <w:rPr>
          <w:color w:val="231F20"/>
          <w:spacing w:val="-27"/>
        </w:rPr>
        <w:t> </w:t>
      </w:r>
      <w:r>
        <w:rPr>
          <w:color w:val="231F20"/>
        </w:rPr>
        <w:t>recognized,</w:t>
      </w:r>
      <w:r>
        <w:rPr>
          <w:color w:val="231F20"/>
          <w:spacing w:val="-26"/>
        </w:rPr>
        <w:t> </w:t>
      </w:r>
      <w:r>
        <w:rPr>
          <w:color w:val="231F20"/>
          <w:spacing w:val="-3"/>
        </w:rPr>
        <w:t>intoxicated</w:t>
      </w:r>
      <w:r>
        <w:rPr>
          <w:color w:val="231F20"/>
          <w:spacing w:val="-27"/>
        </w:rPr>
        <w:t> </w:t>
      </w:r>
      <w:r>
        <w:rPr>
          <w:color w:val="231F20"/>
        </w:rPr>
        <w:t>teach- ers pose a profound</w:t>
      </w:r>
      <w:r>
        <w:rPr>
          <w:color w:val="231F20"/>
          <w:spacing w:val="-6"/>
        </w:rPr>
        <w:t> </w:t>
      </w:r>
      <w:r>
        <w:rPr>
          <w:color w:val="231F20"/>
          <w:spacing w:val="-3"/>
        </w:rPr>
        <w:t>danger.</w:t>
      </w:r>
    </w:p>
    <w:p>
      <w:pPr>
        <w:pStyle w:val="BodyText"/>
        <w:spacing w:line="254" w:lineRule="auto" w:before="1"/>
        <w:ind w:left="119" w:right="41" w:firstLine="180"/>
        <w:jc w:val="both"/>
      </w:pPr>
      <w:r>
        <w:rPr>
          <w:color w:val="231F20"/>
        </w:rPr>
        <w:t>Although</w:t>
      </w:r>
      <w:r>
        <w:rPr>
          <w:color w:val="231F20"/>
          <w:spacing w:val="-17"/>
        </w:rPr>
        <w:t> </w:t>
      </w:r>
      <w:r>
        <w:rPr>
          <w:color w:val="231F20"/>
        </w:rPr>
        <w:t>an</w:t>
      </w:r>
      <w:r>
        <w:rPr>
          <w:color w:val="231F20"/>
          <w:spacing w:val="-17"/>
        </w:rPr>
        <w:t> </w:t>
      </w:r>
      <w:r>
        <w:rPr>
          <w:color w:val="231F20"/>
        </w:rPr>
        <w:t>intoxicated</w:t>
      </w:r>
      <w:r>
        <w:rPr>
          <w:color w:val="231F20"/>
          <w:spacing w:val="-16"/>
        </w:rPr>
        <w:t> </w:t>
      </w:r>
      <w:r>
        <w:rPr>
          <w:color w:val="231F20"/>
        </w:rPr>
        <w:t>teacher</w:t>
      </w:r>
      <w:r>
        <w:rPr>
          <w:color w:val="231F20"/>
          <w:spacing w:val="-17"/>
        </w:rPr>
        <w:t> </w:t>
      </w:r>
      <w:r>
        <w:rPr>
          <w:color w:val="231F20"/>
        </w:rPr>
        <w:t>may be</w:t>
      </w:r>
      <w:r>
        <w:rPr>
          <w:color w:val="231F20"/>
          <w:spacing w:val="-19"/>
        </w:rPr>
        <w:t> </w:t>
      </w:r>
      <w:r>
        <w:rPr>
          <w:color w:val="231F20"/>
        </w:rPr>
        <w:t>improbable,</w:t>
      </w:r>
      <w:r>
        <w:rPr>
          <w:color w:val="231F20"/>
          <w:position w:val="7"/>
          <w:sz w:val="12"/>
        </w:rPr>
        <w:t>22</w:t>
      </w:r>
      <w:r>
        <w:rPr>
          <w:color w:val="231F20"/>
          <w:spacing w:val="4"/>
          <w:position w:val="7"/>
          <w:sz w:val="12"/>
        </w:rPr>
        <w:t> </w:t>
      </w:r>
      <w:r>
        <w:rPr>
          <w:color w:val="231F20"/>
        </w:rPr>
        <w:t>the</w:t>
      </w:r>
      <w:r>
        <w:rPr>
          <w:color w:val="231F20"/>
          <w:spacing w:val="-19"/>
        </w:rPr>
        <w:t> </w:t>
      </w:r>
      <w:r>
        <w:rPr>
          <w:color w:val="231F20"/>
        </w:rPr>
        <w:t>risk</w:t>
      </w:r>
      <w:r>
        <w:rPr>
          <w:color w:val="231F20"/>
          <w:spacing w:val="-19"/>
        </w:rPr>
        <w:t> </w:t>
      </w:r>
      <w:r>
        <w:rPr>
          <w:color w:val="231F20"/>
        </w:rPr>
        <w:t>of</w:t>
      </w:r>
      <w:r>
        <w:rPr>
          <w:color w:val="231F20"/>
          <w:spacing w:val="-19"/>
        </w:rPr>
        <w:t> </w:t>
      </w:r>
      <w:r>
        <w:rPr>
          <w:color w:val="231F20"/>
        </w:rPr>
        <w:t>grave</w:t>
      </w:r>
      <w:r>
        <w:rPr>
          <w:color w:val="231F20"/>
          <w:spacing w:val="-19"/>
        </w:rPr>
        <w:t> </w:t>
      </w:r>
      <w:r>
        <w:rPr>
          <w:color w:val="231F20"/>
        </w:rPr>
        <w:t>harm posed by a teacher who is intoxicated cannot be accepted given the fact</w:t>
      </w:r>
      <w:r>
        <w:rPr>
          <w:color w:val="231F20"/>
          <w:spacing w:val="-36"/>
        </w:rPr>
        <w:t> </w:t>
      </w:r>
      <w:r>
        <w:rPr>
          <w:color w:val="231F20"/>
        </w:rPr>
        <w:t>that</w:t>
      </w:r>
    </w:p>
    <w:p>
      <w:pPr>
        <w:pStyle w:val="BodyText"/>
        <w:spacing w:line="254" w:lineRule="auto" w:before="78"/>
        <w:ind w:left="120" w:right="293"/>
        <w:jc w:val="both"/>
      </w:pPr>
      <w:r>
        <w:rPr/>
        <w:br w:type="column"/>
      </w:r>
      <w:r>
        <w:rPr>
          <w:color w:val="231F20"/>
        </w:rPr>
        <w:t>emergencies will happen: “[T]he</w:t>
      </w:r>
      <w:r>
        <w:rPr>
          <w:color w:val="231F20"/>
          <w:spacing w:val="-37"/>
        </w:rPr>
        <w:t> </w:t>
      </w:r>
      <w:r>
        <w:rPr>
          <w:color w:val="231F20"/>
        </w:rPr>
        <w:t>result of</w:t>
      </w:r>
      <w:r>
        <w:rPr>
          <w:color w:val="231F20"/>
          <w:spacing w:val="-10"/>
        </w:rPr>
        <w:t> </w:t>
      </w:r>
      <w:r>
        <w:rPr>
          <w:color w:val="231F20"/>
        </w:rPr>
        <w:t>our</w:t>
      </w:r>
      <w:r>
        <w:rPr>
          <w:color w:val="231F20"/>
          <w:spacing w:val="-10"/>
        </w:rPr>
        <w:t> </w:t>
      </w:r>
      <w:r>
        <w:rPr>
          <w:color w:val="231F20"/>
        </w:rPr>
        <w:t>calculus</w:t>
      </w:r>
      <w:r>
        <w:rPr>
          <w:color w:val="231F20"/>
          <w:spacing w:val="-8"/>
        </w:rPr>
        <w:t> </w:t>
      </w:r>
      <w:r>
        <w:rPr>
          <w:color w:val="231F20"/>
        </w:rPr>
        <w:t>is</w:t>
      </w:r>
      <w:r>
        <w:rPr>
          <w:color w:val="231F20"/>
          <w:spacing w:val="-10"/>
        </w:rPr>
        <w:t> </w:t>
      </w:r>
      <w:r>
        <w:rPr>
          <w:color w:val="231F20"/>
        </w:rPr>
        <w:t>that</w:t>
      </w:r>
      <w:r>
        <w:rPr>
          <w:color w:val="231F20"/>
          <w:spacing w:val="-8"/>
        </w:rPr>
        <w:t> </w:t>
      </w:r>
      <w:r>
        <w:rPr>
          <w:color w:val="231F20"/>
        </w:rPr>
        <w:t>teachers,</w:t>
      </w:r>
      <w:r>
        <w:rPr>
          <w:color w:val="231F20"/>
          <w:spacing w:val="-9"/>
        </w:rPr>
        <w:t> </w:t>
      </w:r>
      <w:r>
        <w:rPr>
          <w:color w:val="231F20"/>
        </w:rPr>
        <w:t>includ- ing substitutes, who are</w:t>
      </w:r>
      <w:r>
        <w:rPr>
          <w:color w:val="231F20"/>
          <w:spacing w:val="-39"/>
        </w:rPr>
        <w:t> </w:t>
      </w:r>
      <w:r>
        <w:rPr>
          <w:color w:val="231F20"/>
        </w:rPr>
        <w:t>drug-addicted pose a real danger to our school chil- dren.”</w:t>
      </w:r>
      <w:r>
        <w:rPr>
          <w:color w:val="231F20"/>
          <w:position w:val="7"/>
          <w:sz w:val="12"/>
        </w:rPr>
        <w:t>23 </w:t>
      </w:r>
      <w:r>
        <w:rPr>
          <w:color w:val="231F20"/>
        </w:rPr>
        <w:t>As this danger is concrete</w:t>
      </w:r>
      <w:r>
        <w:rPr>
          <w:color w:val="231F20"/>
          <w:spacing w:val="-39"/>
        </w:rPr>
        <w:t> </w:t>
      </w:r>
      <w:r>
        <w:rPr>
          <w:color w:val="231F20"/>
        </w:rPr>
        <w:t>and substantial,</w:t>
      </w:r>
      <w:r>
        <w:rPr>
          <w:color w:val="231F20"/>
          <w:position w:val="7"/>
          <w:sz w:val="12"/>
        </w:rPr>
        <w:t>24 </w:t>
      </w:r>
      <w:r>
        <w:rPr>
          <w:color w:val="231F20"/>
        </w:rPr>
        <w:t>the court concluded that </w:t>
      </w:r>
      <w:r>
        <w:rPr>
          <w:color w:val="231F20"/>
          <w:spacing w:val="2"/>
        </w:rPr>
        <w:t>the </w:t>
      </w:r>
      <w:r>
        <w:rPr>
          <w:color w:val="231F20"/>
          <w:spacing w:val="3"/>
        </w:rPr>
        <w:t>school district </w:t>
      </w:r>
      <w:r>
        <w:rPr>
          <w:color w:val="231F20"/>
          <w:spacing w:val="2"/>
        </w:rPr>
        <w:t>had </w:t>
      </w:r>
      <w:r>
        <w:rPr>
          <w:color w:val="231F20"/>
        </w:rPr>
        <w:t>a </w:t>
      </w:r>
      <w:r>
        <w:rPr>
          <w:color w:val="231F20"/>
          <w:spacing w:val="4"/>
        </w:rPr>
        <w:t>significant </w:t>
      </w:r>
      <w:r>
        <w:rPr>
          <w:color w:val="231F20"/>
        </w:rPr>
        <w:t>safety reason for conducting the drug testing. This need is just as compel- ling as that involving a train </w:t>
      </w:r>
      <w:r>
        <w:rPr>
          <w:color w:val="231F20"/>
          <w:spacing w:val="-2"/>
        </w:rPr>
        <w:t>operator, </w:t>
      </w:r>
      <w:r>
        <w:rPr>
          <w:color w:val="231F20"/>
        </w:rPr>
        <w:t>customs official, or police </w:t>
      </w:r>
      <w:r>
        <w:rPr>
          <w:color w:val="231F20"/>
          <w:spacing w:val="-3"/>
        </w:rPr>
        <w:t>officer, </w:t>
      </w:r>
      <w:r>
        <w:rPr>
          <w:color w:val="231F20"/>
        </w:rPr>
        <w:t>even though teachers do not often face the </w:t>
      </w:r>
      <w:r>
        <w:rPr>
          <w:color w:val="231F20"/>
          <w:spacing w:val="-3"/>
        </w:rPr>
        <w:t>life-and-death</w:t>
      </w:r>
      <w:r>
        <w:rPr>
          <w:color w:val="231F20"/>
          <w:spacing w:val="-17"/>
        </w:rPr>
        <w:t> </w:t>
      </w:r>
      <w:r>
        <w:rPr>
          <w:color w:val="231F20"/>
          <w:spacing w:val="-3"/>
        </w:rPr>
        <w:t>circumstances</w:t>
      </w:r>
      <w:r>
        <w:rPr>
          <w:color w:val="231F20"/>
          <w:spacing w:val="-17"/>
        </w:rPr>
        <w:t> </w:t>
      </w:r>
      <w:r>
        <w:rPr>
          <w:color w:val="231F20"/>
          <w:spacing w:val="-3"/>
        </w:rPr>
        <w:t>that</w:t>
      </w:r>
      <w:r>
        <w:rPr>
          <w:color w:val="231F20"/>
          <w:spacing w:val="-17"/>
        </w:rPr>
        <w:t> </w:t>
      </w:r>
      <w:r>
        <w:rPr>
          <w:color w:val="231F20"/>
          <w:spacing w:val="-3"/>
        </w:rPr>
        <w:t>these </w:t>
      </w:r>
      <w:r>
        <w:rPr>
          <w:color w:val="231F20"/>
        </w:rPr>
        <w:t>employees do. The government does not </w:t>
      </w:r>
      <w:r>
        <w:rPr>
          <w:color w:val="231F20"/>
          <w:spacing w:val="2"/>
        </w:rPr>
        <w:t>have </w:t>
      </w:r>
      <w:r>
        <w:rPr>
          <w:color w:val="231F20"/>
        </w:rPr>
        <w:t>to </w:t>
      </w:r>
      <w:r>
        <w:rPr>
          <w:color w:val="231F20"/>
          <w:spacing w:val="2"/>
        </w:rPr>
        <w:t>take </w:t>
      </w:r>
      <w:r>
        <w:rPr>
          <w:color w:val="231F20"/>
        </w:rPr>
        <w:t>a </w:t>
      </w:r>
      <w:r>
        <w:rPr>
          <w:color w:val="231F20"/>
          <w:spacing w:val="2"/>
        </w:rPr>
        <w:t>chance, </w:t>
      </w:r>
      <w:r>
        <w:rPr>
          <w:color w:val="231F20"/>
          <w:spacing w:val="3"/>
        </w:rPr>
        <w:t>present </w:t>
      </w:r>
      <w:r>
        <w:rPr>
          <w:color w:val="231F20"/>
        </w:rPr>
        <w:t>empirical</w:t>
      </w:r>
      <w:r>
        <w:rPr>
          <w:color w:val="231F20"/>
          <w:spacing w:val="-18"/>
        </w:rPr>
        <w:t> </w:t>
      </w:r>
      <w:r>
        <w:rPr>
          <w:color w:val="231F20"/>
        </w:rPr>
        <w:t>evidence</w:t>
      </w:r>
      <w:r>
        <w:rPr>
          <w:color w:val="231F20"/>
          <w:spacing w:val="-18"/>
        </w:rPr>
        <w:t> </w:t>
      </w:r>
      <w:r>
        <w:rPr>
          <w:color w:val="231F20"/>
        </w:rPr>
        <w:t>of</w:t>
      </w:r>
      <w:r>
        <w:rPr>
          <w:color w:val="231F20"/>
          <w:spacing w:val="-18"/>
        </w:rPr>
        <w:t> </w:t>
      </w:r>
      <w:r>
        <w:rPr>
          <w:color w:val="231F20"/>
        </w:rPr>
        <w:t>past</w:t>
      </w:r>
      <w:r>
        <w:rPr>
          <w:color w:val="231F20"/>
          <w:spacing w:val="-18"/>
        </w:rPr>
        <w:t> </w:t>
      </w:r>
      <w:r>
        <w:rPr>
          <w:color w:val="231F20"/>
        </w:rPr>
        <w:t>drug</w:t>
      </w:r>
      <w:r>
        <w:rPr>
          <w:color w:val="231F20"/>
          <w:spacing w:val="-17"/>
        </w:rPr>
        <w:t> </w:t>
      </w:r>
      <w:r>
        <w:rPr>
          <w:color w:val="231F20"/>
        </w:rPr>
        <w:t>abuse, or wait for disastrous consequences to occur before it can take action to prevent such consequences through suspicionless drug testing. The court held</w:t>
      </w:r>
      <w:r>
        <w:rPr>
          <w:color w:val="231F20"/>
          <w:spacing w:val="-9"/>
        </w:rPr>
        <w:t> </w:t>
      </w:r>
      <w:r>
        <w:rPr>
          <w:color w:val="231F20"/>
        </w:rPr>
        <w:t>that</w:t>
      </w:r>
      <w:r>
        <w:rPr>
          <w:color w:val="231F20"/>
          <w:spacing w:val="-8"/>
        </w:rPr>
        <w:t> </w:t>
      </w:r>
      <w:r>
        <w:rPr>
          <w:color w:val="231F20"/>
        </w:rPr>
        <w:t>“special</w:t>
      </w:r>
      <w:r>
        <w:rPr>
          <w:color w:val="231F20"/>
          <w:spacing w:val="-9"/>
        </w:rPr>
        <w:t> </w:t>
      </w:r>
      <w:r>
        <w:rPr>
          <w:color w:val="231F20"/>
        </w:rPr>
        <w:t>need”</w:t>
      </w:r>
      <w:r>
        <w:rPr>
          <w:color w:val="231F20"/>
          <w:spacing w:val="-8"/>
        </w:rPr>
        <w:t> </w:t>
      </w:r>
      <w:r>
        <w:rPr>
          <w:color w:val="231F20"/>
        </w:rPr>
        <w:t>does</w:t>
      </w:r>
      <w:r>
        <w:rPr>
          <w:color w:val="231F20"/>
          <w:spacing w:val="-9"/>
        </w:rPr>
        <w:t> </w:t>
      </w:r>
      <w:r>
        <w:rPr>
          <w:color w:val="231F20"/>
        </w:rPr>
        <w:t>not</w:t>
      </w:r>
      <w:r>
        <w:rPr>
          <w:color w:val="231F20"/>
          <w:spacing w:val="-8"/>
        </w:rPr>
        <w:t> </w:t>
      </w:r>
      <w:r>
        <w:rPr>
          <w:color w:val="231F20"/>
        </w:rPr>
        <w:t>have to be </w:t>
      </w:r>
      <w:r>
        <w:rPr>
          <w:color w:val="231F20"/>
          <w:spacing w:val="2"/>
        </w:rPr>
        <w:t>established through hard, </w:t>
      </w:r>
      <w:r>
        <w:rPr>
          <w:color w:val="231F20"/>
        </w:rPr>
        <w:t>de- monstrable</w:t>
      </w:r>
      <w:r>
        <w:rPr>
          <w:color w:val="231F20"/>
          <w:spacing w:val="-26"/>
        </w:rPr>
        <w:t> </w:t>
      </w:r>
      <w:r>
        <w:rPr>
          <w:color w:val="231F20"/>
        </w:rPr>
        <w:t>evidence</w:t>
      </w:r>
      <w:r>
        <w:rPr>
          <w:color w:val="231F20"/>
          <w:spacing w:val="-26"/>
        </w:rPr>
        <w:t> </w:t>
      </w:r>
      <w:r>
        <w:rPr>
          <w:color w:val="231F20"/>
        </w:rPr>
        <w:t>but</w:t>
      </w:r>
      <w:r>
        <w:rPr>
          <w:color w:val="231F20"/>
          <w:spacing w:val="-26"/>
        </w:rPr>
        <w:t> </w:t>
      </w:r>
      <w:r>
        <w:rPr>
          <w:color w:val="231F20"/>
        </w:rPr>
        <w:t>can</w:t>
      </w:r>
      <w:r>
        <w:rPr>
          <w:color w:val="231F20"/>
          <w:spacing w:val="-26"/>
        </w:rPr>
        <w:t> </w:t>
      </w:r>
      <w:r>
        <w:rPr>
          <w:color w:val="231F20"/>
        </w:rPr>
        <w:t>be</w:t>
      </w:r>
      <w:r>
        <w:rPr>
          <w:color w:val="231F20"/>
          <w:spacing w:val="-25"/>
        </w:rPr>
        <w:t> </w:t>
      </w:r>
      <w:r>
        <w:rPr>
          <w:color w:val="231F20"/>
        </w:rPr>
        <w:t>shown </w:t>
      </w:r>
      <w:r>
        <w:rPr>
          <w:color w:val="231F20"/>
          <w:spacing w:val="3"/>
        </w:rPr>
        <w:t>through </w:t>
      </w:r>
      <w:r>
        <w:rPr>
          <w:color w:val="231F20"/>
        </w:rPr>
        <w:t>an </w:t>
      </w:r>
      <w:r>
        <w:rPr>
          <w:color w:val="231F20"/>
          <w:spacing w:val="3"/>
        </w:rPr>
        <w:t>innate understanding </w:t>
      </w:r>
      <w:r>
        <w:rPr>
          <w:color w:val="231F20"/>
          <w:spacing w:val="4"/>
        </w:rPr>
        <w:t>of </w:t>
      </w:r>
      <w:r>
        <w:rPr>
          <w:color w:val="231F20"/>
        </w:rPr>
        <w:t>the problem and an intuitive sense of the danger presented. As a result, the Eleventh Circuit concluded the school </w:t>
      </w:r>
      <w:r>
        <w:rPr>
          <w:color w:val="231F20"/>
          <w:spacing w:val="-3"/>
        </w:rPr>
        <w:t>district</w:t>
      </w:r>
      <w:r>
        <w:rPr>
          <w:color w:val="231F20"/>
          <w:spacing w:val="-18"/>
        </w:rPr>
        <w:t> </w:t>
      </w:r>
      <w:r>
        <w:rPr>
          <w:color w:val="231F20"/>
          <w:spacing w:val="-3"/>
        </w:rPr>
        <w:t>demonstrated</w:t>
      </w:r>
      <w:r>
        <w:rPr>
          <w:color w:val="231F20"/>
          <w:spacing w:val="-17"/>
        </w:rPr>
        <w:t> </w:t>
      </w:r>
      <w:r>
        <w:rPr>
          <w:color w:val="231F20"/>
        </w:rPr>
        <w:t>a</w:t>
      </w:r>
      <w:r>
        <w:rPr>
          <w:color w:val="231F20"/>
          <w:spacing w:val="-17"/>
        </w:rPr>
        <w:t> </w:t>
      </w:r>
      <w:r>
        <w:rPr>
          <w:color w:val="231F20"/>
          <w:spacing w:val="-3"/>
        </w:rPr>
        <w:t>powerful</w:t>
      </w:r>
      <w:r>
        <w:rPr>
          <w:color w:val="231F20"/>
          <w:spacing w:val="-17"/>
        </w:rPr>
        <w:t> </w:t>
      </w:r>
      <w:r>
        <w:rPr>
          <w:color w:val="231F20"/>
          <w:spacing w:val="-3"/>
        </w:rPr>
        <w:t>special </w:t>
      </w:r>
      <w:r>
        <w:rPr>
          <w:color w:val="231F20"/>
        </w:rPr>
        <w:t>need for drug testing in this</w:t>
      </w:r>
      <w:r>
        <w:rPr>
          <w:color w:val="231F20"/>
          <w:spacing w:val="-7"/>
        </w:rPr>
        <w:t> </w:t>
      </w:r>
      <w:r>
        <w:rPr>
          <w:color w:val="231F20"/>
        </w:rPr>
        <w:t>case.</w:t>
      </w:r>
    </w:p>
    <w:p>
      <w:pPr>
        <w:pStyle w:val="BodyText"/>
        <w:spacing w:line="254" w:lineRule="auto"/>
        <w:ind w:left="119" w:right="292" w:firstLine="180"/>
        <w:jc w:val="both"/>
        <w:rPr>
          <w:sz w:val="12"/>
        </w:rPr>
      </w:pPr>
      <w:r>
        <w:rPr>
          <w:color w:val="231F20"/>
          <w:spacing w:val="3"/>
        </w:rPr>
        <w:t>However, </w:t>
      </w:r>
      <w:r>
        <w:rPr>
          <w:color w:val="231F20"/>
          <w:spacing w:val="4"/>
        </w:rPr>
        <w:t>this </w:t>
      </w:r>
      <w:r>
        <w:rPr>
          <w:color w:val="231F20"/>
          <w:spacing w:val="5"/>
        </w:rPr>
        <w:t>conclusion </w:t>
      </w:r>
      <w:r>
        <w:rPr>
          <w:color w:val="231F20"/>
          <w:spacing w:val="4"/>
        </w:rPr>
        <w:t>did </w:t>
      </w:r>
      <w:r>
        <w:rPr>
          <w:color w:val="231F20"/>
          <w:spacing w:val="6"/>
        </w:rPr>
        <w:t>not </w:t>
      </w:r>
      <w:r>
        <w:rPr>
          <w:color w:val="231F20"/>
        </w:rPr>
        <w:t>end the analysis. </w:t>
      </w:r>
      <w:r>
        <w:rPr>
          <w:color w:val="231F20"/>
          <w:spacing w:val="-12"/>
        </w:rPr>
        <w:t>To </w:t>
      </w:r>
      <w:r>
        <w:rPr>
          <w:color w:val="231F20"/>
        </w:rPr>
        <w:t>evaluate the rea- sonableness of the search, the court then weighed the privacy interest of the public employees against the gov- ernment’s special need. At this stage, noted</w:t>
      </w:r>
      <w:r>
        <w:rPr>
          <w:color w:val="231F20"/>
          <w:spacing w:val="-10"/>
        </w:rPr>
        <w:t> </w:t>
      </w:r>
      <w:r>
        <w:rPr>
          <w:color w:val="231F20"/>
        </w:rPr>
        <w:t>the</w:t>
      </w:r>
      <w:r>
        <w:rPr>
          <w:color w:val="231F20"/>
          <w:spacing w:val="-10"/>
        </w:rPr>
        <w:t> </w:t>
      </w:r>
      <w:r>
        <w:rPr>
          <w:color w:val="231F20"/>
        </w:rPr>
        <w:t>court,</w:t>
      </w:r>
      <w:r>
        <w:rPr>
          <w:color w:val="231F20"/>
          <w:spacing w:val="-9"/>
        </w:rPr>
        <w:t> </w:t>
      </w:r>
      <w:r>
        <w:rPr>
          <w:color w:val="231F20"/>
        </w:rPr>
        <w:t>“once</w:t>
      </w:r>
      <w:r>
        <w:rPr>
          <w:color w:val="231F20"/>
          <w:spacing w:val="-10"/>
        </w:rPr>
        <w:t> </w:t>
      </w:r>
      <w:r>
        <w:rPr>
          <w:color w:val="231F20"/>
        </w:rPr>
        <w:t>the</w:t>
      </w:r>
      <w:r>
        <w:rPr>
          <w:color w:val="231F20"/>
          <w:spacing w:val="-9"/>
        </w:rPr>
        <w:t> </w:t>
      </w:r>
      <w:r>
        <w:rPr>
          <w:color w:val="231F20"/>
        </w:rPr>
        <w:t>government has carried its burden of establishing the</w:t>
      </w:r>
      <w:r>
        <w:rPr>
          <w:color w:val="231F20"/>
          <w:spacing w:val="-13"/>
        </w:rPr>
        <w:t> </w:t>
      </w:r>
      <w:r>
        <w:rPr>
          <w:color w:val="231F20"/>
        </w:rPr>
        <w:t>special</w:t>
      </w:r>
      <w:r>
        <w:rPr>
          <w:color w:val="231F20"/>
          <w:spacing w:val="-12"/>
        </w:rPr>
        <w:t> </w:t>
      </w:r>
      <w:r>
        <w:rPr>
          <w:color w:val="231F20"/>
        </w:rPr>
        <w:t>need,</w:t>
      </w:r>
      <w:r>
        <w:rPr>
          <w:color w:val="231F20"/>
          <w:spacing w:val="-13"/>
        </w:rPr>
        <w:t> </w:t>
      </w:r>
      <w:r>
        <w:rPr>
          <w:color w:val="231F20"/>
        </w:rPr>
        <w:t>the</w:t>
      </w:r>
      <w:r>
        <w:rPr>
          <w:color w:val="231F20"/>
          <w:spacing w:val="-12"/>
        </w:rPr>
        <w:t> </w:t>
      </w:r>
      <w:r>
        <w:rPr>
          <w:color w:val="231F20"/>
        </w:rPr>
        <w:t>burden</w:t>
      </w:r>
      <w:r>
        <w:rPr>
          <w:color w:val="231F20"/>
          <w:spacing w:val="-12"/>
        </w:rPr>
        <w:t> </w:t>
      </w:r>
      <w:r>
        <w:rPr>
          <w:color w:val="231F20"/>
        </w:rPr>
        <w:t>returns</w:t>
      </w:r>
      <w:r>
        <w:rPr>
          <w:color w:val="231F20"/>
          <w:spacing w:val="-13"/>
        </w:rPr>
        <w:t> </w:t>
      </w:r>
      <w:r>
        <w:rPr>
          <w:color w:val="231F20"/>
        </w:rPr>
        <w:t>to the plaintiff to persuade the court that the balance weighs in its favor.”</w:t>
      </w:r>
      <w:r>
        <w:rPr>
          <w:color w:val="231F20"/>
          <w:position w:val="7"/>
          <w:sz w:val="12"/>
        </w:rPr>
        <w:t>25 </w:t>
      </w:r>
      <w:r>
        <w:rPr>
          <w:color w:val="231F20"/>
        </w:rPr>
        <w:t>The court</w:t>
      </w:r>
      <w:r>
        <w:rPr>
          <w:color w:val="231F20"/>
          <w:spacing w:val="-22"/>
        </w:rPr>
        <w:t> </w:t>
      </w:r>
      <w:r>
        <w:rPr>
          <w:color w:val="231F20"/>
        </w:rPr>
        <w:t>considered</w:t>
      </w:r>
      <w:r>
        <w:rPr>
          <w:color w:val="231F20"/>
          <w:spacing w:val="-21"/>
        </w:rPr>
        <w:t> </w:t>
      </w:r>
      <w:r>
        <w:rPr>
          <w:color w:val="231F20"/>
        </w:rPr>
        <w:t>four</w:t>
      </w:r>
      <w:r>
        <w:rPr>
          <w:color w:val="231F20"/>
          <w:spacing w:val="-21"/>
        </w:rPr>
        <w:t> </w:t>
      </w:r>
      <w:r>
        <w:rPr>
          <w:color w:val="231F20"/>
        </w:rPr>
        <w:t>factors</w:t>
      </w:r>
      <w:r>
        <w:rPr>
          <w:color w:val="231F20"/>
          <w:spacing w:val="-21"/>
        </w:rPr>
        <w:t> </w:t>
      </w:r>
      <w:r>
        <w:rPr>
          <w:color w:val="231F20"/>
        </w:rPr>
        <w:t>in</w:t>
      </w:r>
      <w:r>
        <w:rPr>
          <w:color w:val="231F20"/>
          <w:spacing w:val="-22"/>
        </w:rPr>
        <w:t> </w:t>
      </w:r>
      <w:r>
        <w:rPr>
          <w:color w:val="231F20"/>
        </w:rPr>
        <w:t>balanc- </w:t>
      </w:r>
      <w:r>
        <w:rPr>
          <w:color w:val="231F20"/>
          <w:spacing w:val="3"/>
        </w:rPr>
        <w:t>ing </w:t>
      </w:r>
      <w:r>
        <w:rPr>
          <w:color w:val="231F20"/>
          <w:spacing w:val="4"/>
        </w:rPr>
        <w:t>these interests: </w:t>
      </w:r>
      <w:r>
        <w:rPr>
          <w:color w:val="231F20"/>
          <w:spacing w:val="3"/>
        </w:rPr>
        <w:t>the </w:t>
      </w:r>
      <w:r>
        <w:rPr>
          <w:color w:val="231F20"/>
          <w:spacing w:val="4"/>
        </w:rPr>
        <w:t>employee’s </w:t>
      </w:r>
      <w:r>
        <w:rPr>
          <w:color w:val="231F20"/>
        </w:rPr>
        <w:t>reasonable expectation of privacy;</w:t>
      </w:r>
      <w:r>
        <w:rPr>
          <w:color w:val="231F20"/>
          <w:spacing w:val="-27"/>
        </w:rPr>
        <w:t> </w:t>
      </w:r>
      <w:r>
        <w:rPr>
          <w:color w:val="231F20"/>
        </w:rPr>
        <w:t>the nature</w:t>
      </w:r>
      <w:r>
        <w:rPr>
          <w:color w:val="231F20"/>
          <w:spacing w:val="-8"/>
        </w:rPr>
        <w:t> </w:t>
      </w:r>
      <w:r>
        <w:rPr>
          <w:color w:val="231F20"/>
        </w:rPr>
        <w:t>and</w:t>
      </w:r>
      <w:r>
        <w:rPr>
          <w:color w:val="231F20"/>
          <w:spacing w:val="-7"/>
        </w:rPr>
        <w:t> </w:t>
      </w:r>
      <w:r>
        <w:rPr>
          <w:color w:val="231F20"/>
        </w:rPr>
        <w:t>extent</w:t>
      </w:r>
      <w:r>
        <w:rPr>
          <w:color w:val="231F20"/>
          <w:spacing w:val="-7"/>
        </w:rPr>
        <w:t> </w:t>
      </w:r>
      <w:r>
        <w:rPr>
          <w:color w:val="231F20"/>
        </w:rPr>
        <w:t>of</w:t>
      </w:r>
      <w:r>
        <w:rPr>
          <w:color w:val="231F20"/>
          <w:spacing w:val="-7"/>
        </w:rPr>
        <w:t> </w:t>
      </w:r>
      <w:r>
        <w:rPr>
          <w:color w:val="231F20"/>
        </w:rPr>
        <w:t>the</w:t>
      </w:r>
      <w:r>
        <w:rPr>
          <w:color w:val="231F20"/>
          <w:spacing w:val="-7"/>
        </w:rPr>
        <w:t> </w:t>
      </w:r>
      <w:r>
        <w:rPr>
          <w:color w:val="231F20"/>
        </w:rPr>
        <w:t>intrusion</w:t>
      </w:r>
      <w:r>
        <w:rPr>
          <w:color w:val="231F20"/>
          <w:spacing w:val="-7"/>
        </w:rPr>
        <w:t> </w:t>
      </w:r>
      <w:r>
        <w:rPr>
          <w:color w:val="231F20"/>
        </w:rPr>
        <w:t>from the search; the nature and extent of the government’s interest; and the ef- ficacy of the testing policy to achieve the</w:t>
      </w:r>
      <w:r>
        <w:rPr>
          <w:color w:val="231F20"/>
          <w:spacing w:val="-21"/>
        </w:rPr>
        <w:t> </w:t>
      </w:r>
      <w:r>
        <w:rPr>
          <w:color w:val="231F20"/>
          <w:spacing w:val="-3"/>
        </w:rPr>
        <w:t>government’s</w:t>
      </w:r>
      <w:r>
        <w:rPr>
          <w:color w:val="231F20"/>
          <w:spacing w:val="-20"/>
        </w:rPr>
        <w:t> </w:t>
      </w:r>
      <w:r>
        <w:rPr>
          <w:color w:val="231F20"/>
          <w:spacing w:val="-3"/>
        </w:rPr>
        <w:t>purpose.</w:t>
      </w:r>
      <w:r>
        <w:rPr>
          <w:color w:val="231F20"/>
          <w:spacing w:val="-20"/>
        </w:rPr>
        <w:t> </w:t>
      </w:r>
      <w:r>
        <w:rPr>
          <w:color w:val="231F20"/>
        </w:rPr>
        <w:t>In</w:t>
      </w:r>
      <w:r>
        <w:rPr>
          <w:color w:val="231F20"/>
          <w:spacing w:val="-20"/>
        </w:rPr>
        <w:t> </w:t>
      </w:r>
      <w:r>
        <w:rPr>
          <w:color w:val="231F20"/>
          <w:spacing w:val="-3"/>
        </w:rPr>
        <w:t>balancing </w:t>
      </w:r>
      <w:r>
        <w:rPr>
          <w:color w:val="231F20"/>
        </w:rPr>
        <w:t>these</w:t>
      </w:r>
      <w:r>
        <w:rPr>
          <w:color w:val="231F20"/>
          <w:spacing w:val="-9"/>
        </w:rPr>
        <w:t> </w:t>
      </w:r>
      <w:r>
        <w:rPr>
          <w:color w:val="231F20"/>
        </w:rPr>
        <w:t>factors,</w:t>
      </w:r>
      <w:r>
        <w:rPr>
          <w:color w:val="231F20"/>
          <w:spacing w:val="-9"/>
        </w:rPr>
        <w:t> </w:t>
      </w:r>
      <w:r>
        <w:rPr>
          <w:color w:val="231F20"/>
        </w:rPr>
        <w:t>the</w:t>
      </w:r>
      <w:r>
        <w:rPr>
          <w:color w:val="231F20"/>
          <w:spacing w:val="-9"/>
        </w:rPr>
        <w:t> </w:t>
      </w:r>
      <w:r>
        <w:rPr>
          <w:color w:val="231F20"/>
        </w:rPr>
        <w:t>court</w:t>
      </w:r>
      <w:r>
        <w:rPr>
          <w:color w:val="231F20"/>
          <w:spacing w:val="-8"/>
        </w:rPr>
        <w:t> </w:t>
      </w:r>
      <w:r>
        <w:rPr>
          <w:color w:val="231F20"/>
        </w:rPr>
        <w:t>found</w:t>
      </w:r>
      <w:r>
        <w:rPr>
          <w:color w:val="231F20"/>
          <w:spacing w:val="-9"/>
        </w:rPr>
        <w:t> </w:t>
      </w:r>
      <w:r>
        <w:rPr>
          <w:color w:val="231F20"/>
        </w:rPr>
        <w:t>that</w:t>
      </w:r>
      <w:r>
        <w:rPr>
          <w:color w:val="231F20"/>
          <w:spacing w:val="-9"/>
        </w:rPr>
        <w:t> </w:t>
      </w:r>
      <w:r>
        <w:rPr>
          <w:color w:val="231F20"/>
          <w:spacing w:val="-3"/>
        </w:rPr>
        <w:t>they </w:t>
      </w:r>
      <w:r>
        <w:rPr>
          <w:color w:val="231F20"/>
        </w:rPr>
        <w:t>weighed in favor of allowing the drug testing of substitute teachers because the</w:t>
      </w:r>
      <w:r>
        <w:rPr>
          <w:color w:val="231F20"/>
          <w:spacing w:val="-15"/>
        </w:rPr>
        <w:t> </w:t>
      </w:r>
      <w:r>
        <w:rPr>
          <w:color w:val="231F20"/>
        </w:rPr>
        <w:t>government</w:t>
      </w:r>
      <w:r>
        <w:rPr>
          <w:color w:val="231F20"/>
          <w:spacing w:val="-15"/>
        </w:rPr>
        <w:t> </w:t>
      </w:r>
      <w:r>
        <w:rPr>
          <w:color w:val="231F20"/>
        </w:rPr>
        <w:t>attempted</w:t>
      </w:r>
      <w:r>
        <w:rPr>
          <w:color w:val="231F20"/>
          <w:spacing w:val="-14"/>
        </w:rPr>
        <w:t> </w:t>
      </w:r>
      <w:r>
        <w:rPr>
          <w:color w:val="231F20"/>
        </w:rPr>
        <w:t>to</w:t>
      </w:r>
      <w:r>
        <w:rPr>
          <w:color w:val="231F20"/>
          <w:spacing w:val="-15"/>
        </w:rPr>
        <w:t> </w:t>
      </w:r>
      <w:r>
        <w:rPr>
          <w:color w:val="231F20"/>
        </w:rPr>
        <w:t>minimize the</w:t>
      </w:r>
      <w:r>
        <w:rPr>
          <w:color w:val="231F20"/>
          <w:spacing w:val="-26"/>
        </w:rPr>
        <w:t> </w:t>
      </w:r>
      <w:r>
        <w:rPr>
          <w:color w:val="231F20"/>
        </w:rPr>
        <w:t>intrusion</w:t>
      </w:r>
      <w:r>
        <w:rPr>
          <w:color w:val="231F20"/>
          <w:spacing w:val="-26"/>
        </w:rPr>
        <w:t> </w:t>
      </w:r>
      <w:r>
        <w:rPr>
          <w:color w:val="231F20"/>
        </w:rPr>
        <w:t>to</w:t>
      </w:r>
      <w:r>
        <w:rPr>
          <w:color w:val="231F20"/>
          <w:spacing w:val="-26"/>
        </w:rPr>
        <w:t> </w:t>
      </w:r>
      <w:r>
        <w:rPr>
          <w:color w:val="231F20"/>
        </w:rPr>
        <w:t>a</w:t>
      </w:r>
      <w:r>
        <w:rPr>
          <w:color w:val="231F20"/>
          <w:spacing w:val="-25"/>
        </w:rPr>
        <w:t> </w:t>
      </w:r>
      <w:r>
        <w:rPr>
          <w:color w:val="231F20"/>
        </w:rPr>
        <w:t>reasonable</w:t>
      </w:r>
      <w:r>
        <w:rPr>
          <w:color w:val="231F20"/>
          <w:spacing w:val="-26"/>
        </w:rPr>
        <w:t> </w:t>
      </w:r>
      <w:r>
        <w:rPr>
          <w:color w:val="231F20"/>
        </w:rPr>
        <w:t>extent</w:t>
      </w:r>
      <w:r>
        <w:rPr>
          <w:color w:val="231F20"/>
          <w:spacing w:val="-26"/>
        </w:rPr>
        <w:t> </w:t>
      </w:r>
      <w:r>
        <w:rPr>
          <w:color w:val="231F20"/>
          <w:spacing w:val="-2"/>
        </w:rPr>
        <w:t>and </w:t>
      </w:r>
      <w:r>
        <w:rPr>
          <w:color w:val="231F20"/>
        </w:rPr>
        <w:t>the need was</w:t>
      </w:r>
      <w:r>
        <w:rPr>
          <w:color w:val="231F20"/>
          <w:spacing w:val="-3"/>
        </w:rPr>
        <w:t> </w:t>
      </w:r>
      <w:r>
        <w:rPr>
          <w:color w:val="231F20"/>
        </w:rPr>
        <w:t>compelling.</w:t>
      </w:r>
      <w:r>
        <w:rPr>
          <w:color w:val="231F20"/>
          <w:position w:val="7"/>
          <w:sz w:val="12"/>
        </w:rPr>
        <w:t>26</w:t>
      </w:r>
    </w:p>
    <w:p>
      <w:pPr>
        <w:pStyle w:val="BodyText"/>
        <w:spacing w:line="224" w:lineRule="exact"/>
        <w:ind w:left="300"/>
        <w:jc w:val="both"/>
      </w:pPr>
      <w:r>
        <w:rPr>
          <w:color w:val="231F20"/>
        </w:rPr>
        <w:t>The court first found that teachers</w:t>
      </w:r>
      <w:r>
        <w:rPr>
          <w:color w:val="231F20"/>
          <w:spacing w:val="-26"/>
        </w:rPr>
        <w:t> </w:t>
      </w:r>
      <w:r>
        <w:rPr>
          <w:color w:val="231F20"/>
        </w:rPr>
        <w:t>in</w:t>
      </w:r>
    </w:p>
    <w:p>
      <w:pPr>
        <w:pStyle w:val="BodyText"/>
        <w:spacing w:before="2"/>
        <w:ind w:right="298"/>
        <w:jc w:val="right"/>
      </w:pPr>
      <w:r>
        <w:rPr>
          <w:color w:val="231F20"/>
        </w:rPr>
        <w:t>public schools have a diminished </w:t>
      </w:r>
      <w:r>
        <w:rPr>
          <w:color w:val="231F20"/>
          <w:spacing w:val="29"/>
        </w:rPr>
        <w:t> </w:t>
      </w:r>
      <w:r>
        <w:rPr>
          <w:color w:val="231F20"/>
        </w:rPr>
        <w:t>ex-</w:t>
      </w:r>
    </w:p>
    <w:p>
      <w:pPr>
        <w:spacing w:before="34"/>
        <w:ind w:left="0" w:right="298" w:firstLine="0"/>
        <w:jc w:val="right"/>
        <w:rPr>
          <w:i/>
          <w:sz w:val="20"/>
        </w:rPr>
      </w:pPr>
      <w:r>
        <w:rPr>
          <w:i/>
          <w:color w:val="231F20"/>
          <w:sz w:val="20"/>
        </w:rPr>
        <w:t>continued, next</w:t>
      </w:r>
      <w:r>
        <w:rPr>
          <w:i/>
          <w:color w:val="231F20"/>
          <w:spacing w:val="-8"/>
          <w:sz w:val="20"/>
        </w:rPr>
        <w:t> </w:t>
      </w:r>
      <w:r>
        <w:rPr>
          <w:i/>
          <w:color w:val="231F20"/>
          <w:sz w:val="20"/>
        </w:rPr>
        <w:t>page</w:t>
      </w:r>
    </w:p>
    <w:p>
      <w:pPr>
        <w:spacing w:after="0"/>
        <w:jc w:val="right"/>
        <w:rPr>
          <w:sz w:val="20"/>
        </w:rPr>
        <w:sectPr>
          <w:headerReference w:type="default" r:id="rId65"/>
          <w:footerReference w:type="default" r:id="rId66"/>
          <w:pgSz w:w="12240" w:h="15840"/>
          <w:pgMar w:header="0" w:footer="558" w:top="840" w:bottom="740" w:left="720" w:right="540"/>
          <w:pgNumType w:start="9"/>
          <w:cols w:num="3" w:equalWidth="0">
            <w:col w:w="3536" w:space="64"/>
            <w:col w:w="3524" w:space="76"/>
            <w:col w:w="3780"/>
          </w:cols>
        </w:sectPr>
      </w:pPr>
    </w:p>
    <w:p>
      <w:pPr>
        <w:pStyle w:val="BodyText"/>
        <w:spacing w:before="7"/>
        <w:rPr>
          <w:i/>
          <w:sz w:val="11"/>
        </w:rPr>
      </w:pPr>
    </w:p>
    <w:p>
      <w:pPr>
        <w:pStyle w:val="BodyText"/>
        <w:spacing w:line="20" w:lineRule="exact"/>
        <w:ind w:left="110" w:right="-15"/>
        <w:rPr>
          <w:sz w:val="2"/>
        </w:rPr>
      </w:pPr>
      <w:r>
        <w:rPr>
          <w:sz w:val="2"/>
        </w:rPr>
        <w:pict>
          <v:group style="width:168pt;height:1pt;mso-position-horizontal-relative:char;mso-position-vertical-relative:line" coordorigin="0,0" coordsize="3360,20">
            <v:line style="position:absolute" from="0,10" to="3360,10" stroked="true" strokeweight="1pt" strokecolor="#231f20">
              <v:stroke dashstyle="solid"/>
            </v:line>
          </v:group>
        </w:pict>
      </w:r>
      <w:r>
        <w:rPr>
          <w:sz w:val="2"/>
        </w:rPr>
      </w:r>
    </w:p>
    <w:p>
      <w:pPr>
        <w:spacing w:before="92"/>
        <w:ind w:left="120" w:right="0" w:firstLine="0"/>
        <w:jc w:val="both"/>
        <w:rPr>
          <w:i/>
          <w:sz w:val="20"/>
        </w:rPr>
      </w:pPr>
      <w:r>
        <w:rPr>
          <w:b/>
          <w:color w:val="0076BF"/>
          <w:sz w:val="20"/>
        </w:rPr>
        <w:t>JUST SAy NO, </w:t>
      </w:r>
      <w:r>
        <w:rPr>
          <w:i/>
          <w:color w:val="0076BF"/>
          <w:sz w:val="20"/>
        </w:rPr>
        <w:t>continued</w:t>
      </w:r>
    </w:p>
    <w:p>
      <w:pPr>
        <w:pStyle w:val="BodyText"/>
        <w:spacing w:before="6"/>
        <w:rPr>
          <w:i/>
          <w:sz w:val="8"/>
        </w:rPr>
      </w:pPr>
    </w:p>
    <w:p>
      <w:pPr>
        <w:pStyle w:val="BodyText"/>
        <w:spacing w:line="40" w:lineRule="exact"/>
        <w:ind w:left="100"/>
        <w:rPr>
          <w:sz w:val="4"/>
        </w:rPr>
      </w:pPr>
      <w:r>
        <w:rPr>
          <w:position w:val="0"/>
          <w:sz w:val="4"/>
        </w:rPr>
        <w:pict>
          <v:group style="width:168pt;height:2pt;mso-position-horizontal-relative:char;mso-position-vertical-relative:line" coordorigin="0,0" coordsize="3360,40">
            <v:line style="position:absolute" from="0,20" to="3360,20" stroked="true" strokeweight="2pt" strokecolor="#231f20">
              <v:stroke dashstyle="solid"/>
            </v:line>
          </v:group>
        </w:pict>
      </w:r>
      <w:r>
        <w:rPr>
          <w:position w:val="0"/>
          <w:sz w:val="4"/>
        </w:rPr>
      </w:r>
    </w:p>
    <w:p>
      <w:pPr>
        <w:pStyle w:val="BodyText"/>
        <w:rPr>
          <w:i/>
          <w:sz w:val="22"/>
        </w:rPr>
      </w:pPr>
    </w:p>
    <w:p>
      <w:pPr>
        <w:pStyle w:val="BodyText"/>
        <w:spacing w:line="254" w:lineRule="auto" w:before="147"/>
        <w:ind w:left="120" w:right="42"/>
        <w:jc w:val="both"/>
      </w:pPr>
      <w:r>
        <w:rPr>
          <w:color w:val="231F20"/>
        </w:rPr>
        <w:t>pectation</w:t>
      </w:r>
      <w:r>
        <w:rPr>
          <w:color w:val="231F20"/>
          <w:spacing w:val="-10"/>
        </w:rPr>
        <w:t> </w:t>
      </w:r>
      <w:r>
        <w:rPr>
          <w:color w:val="231F20"/>
        </w:rPr>
        <w:t>of</w:t>
      </w:r>
      <w:r>
        <w:rPr>
          <w:color w:val="231F20"/>
          <w:spacing w:val="-10"/>
        </w:rPr>
        <w:t> </w:t>
      </w:r>
      <w:r>
        <w:rPr>
          <w:color w:val="231F20"/>
          <w:spacing w:val="-3"/>
        </w:rPr>
        <w:t>privacy.</w:t>
      </w:r>
      <w:r>
        <w:rPr>
          <w:color w:val="231F20"/>
          <w:spacing w:val="-9"/>
        </w:rPr>
        <w:t> </w:t>
      </w:r>
      <w:r>
        <w:rPr>
          <w:color w:val="231F20"/>
        </w:rPr>
        <w:t>It</w:t>
      </w:r>
      <w:r>
        <w:rPr>
          <w:color w:val="231F20"/>
          <w:spacing w:val="-10"/>
        </w:rPr>
        <w:t> </w:t>
      </w:r>
      <w:r>
        <w:rPr>
          <w:color w:val="231F20"/>
        </w:rPr>
        <w:t>next</w:t>
      </w:r>
      <w:r>
        <w:rPr>
          <w:color w:val="231F20"/>
          <w:spacing w:val="-10"/>
        </w:rPr>
        <w:t> </w:t>
      </w:r>
      <w:r>
        <w:rPr>
          <w:color w:val="231F20"/>
        </w:rPr>
        <w:t>considered the character of the intrusion, noting </w:t>
      </w:r>
      <w:r>
        <w:rPr>
          <w:color w:val="231F20"/>
          <w:spacing w:val="3"/>
        </w:rPr>
        <w:t>that the </w:t>
      </w:r>
      <w:r>
        <w:rPr>
          <w:color w:val="231F20"/>
          <w:spacing w:val="4"/>
        </w:rPr>
        <w:t>school district employed </w:t>
      </w:r>
      <w:r>
        <w:rPr>
          <w:color w:val="231F20"/>
        </w:rPr>
        <w:t>a </w:t>
      </w:r>
      <w:r>
        <w:rPr>
          <w:color w:val="231F20"/>
          <w:spacing w:val="5"/>
        </w:rPr>
        <w:t>procedure </w:t>
      </w:r>
      <w:r>
        <w:rPr>
          <w:color w:val="231F20"/>
          <w:spacing w:val="4"/>
        </w:rPr>
        <w:t>that the </w:t>
      </w:r>
      <w:r>
        <w:rPr>
          <w:color w:val="231F20"/>
          <w:spacing w:val="5"/>
        </w:rPr>
        <w:t>Supreme </w:t>
      </w:r>
      <w:r>
        <w:rPr>
          <w:color w:val="231F20"/>
          <w:spacing w:val="4"/>
        </w:rPr>
        <w:t>Court </w:t>
      </w:r>
      <w:r>
        <w:rPr>
          <w:color w:val="231F20"/>
        </w:rPr>
        <w:t>has found to be minimally intrusive. There were only two components of the testing that differed from the </w:t>
      </w:r>
      <w:r>
        <w:rPr>
          <w:color w:val="231F20"/>
          <w:spacing w:val="-3"/>
        </w:rPr>
        <w:t>test </w:t>
      </w:r>
      <w:r>
        <w:rPr>
          <w:color w:val="231F20"/>
        </w:rPr>
        <w:t>addressed</w:t>
      </w:r>
      <w:r>
        <w:rPr>
          <w:color w:val="231F20"/>
          <w:spacing w:val="-11"/>
        </w:rPr>
        <w:t> </w:t>
      </w:r>
      <w:r>
        <w:rPr>
          <w:color w:val="231F20"/>
        </w:rPr>
        <w:t>by</w:t>
      </w:r>
      <w:r>
        <w:rPr>
          <w:color w:val="231F20"/>
          <w:spacing w:val="-11"/>
        </w:rPr>
        <w:t> </w:t>
      </w:r>
      <w:r>
        <w:rPr>
          <w:color w:val="231F20"/>
        </w:rPr>
        <w:t>the</w:t>
      </w:r>
      <w:r>
        <w:rPr>
          <w:color w:val="231F20"/>
          <w:spacing w:val="-10"/>
        </w:rPr>
        <w:t> </w:t>
      </w:r>
      <w:r>
        <w:rPr>
          <w:color w:val="231F20"/>
        </w:rPr>
        <w:t>Supreme</w:t>
      </w:r>
      <w:r>
        <w:rPr>
          <w:color w:val="231F20"/>
          <w:spacing w:val="-11"/>
        </w:rPr>
        <w:t> </w:t>
      </w:r>
      <w:r>
        <w:rPr>
          <w:color w:val="231F20"/>
        </w:rPr>
        <w:t>Court.</w:t>
      </w:r>
      <w:r>
        <w:rPr>
          <w:color w:val="231F20"/>
          <w:spacing w:val="-14"/>
        </w:rPr>
        <w:t> </w:t>
      </w:r>
      <w:r>
        <w:rPr>
          <w:color w:val="231F20"/>
        </w:rPr>
        <w:t>The school district’s procedure allowed for </w:t>
      </w:r>
      <w:r>
        <w:rPr>
          <w:color w:val="231F20"/>
          <w:spacing w:val="2"/>
        </w:rPr>
        <w:t>the </w:t>
      </w:r>
      <w:r>
        <w:rPr>
          <w:color w:val="231F20"/>
          <w:spacing w:val="3"/>
        </w:rPr>
        <w:t>search </w:t>
      </w:r>
      <w:r>
        <w:rPr>
          <w:color w:val="231F20"/>
        </w:rPr>
        <w:t>of a </w:t>
      </w:r>
      <w:r>
        <w:rPr>
          <w:color w:val="231F20"/>
          <w:spacing w:val="3"/>
        </w:rPr>
        <w:t>wallet </w:t>
      </w:r>
      <w:r>
        <w:rPr>
          <w:color w:val="231F20"/>
          <w:spacing w:val="2"/>
        </w:rPr>
        <w:t>for </w:t>
      </w:r>
      <w:r>
        <w:rPr>
          <w:color w:val="231F20"/>
          <w:spacing w:val="4"/>
        </w:rPr>
        <w:t>evidence  </w:t>
      </w:r>
      <w:r>
        <w:rPr>
          <w:color w:val="231F20"/>
        </w:rPr>
        <w:t>of </w:t>
      </w:r>
      <w:r>
        <w:rPr>
          <w:color w:val="231F20"/>
          <w:spacing w:val="2"/>
        </w:rPr>
        <w:t>tampering </w:t>
      </w:r>
      <w:r>
        <w:rPr>
          <w:color w:val="231F20"/>
        </w:rPr>
        <w:t>if the </w:t>
      </w:r>
      <w:r>
        <w:rPr>
          <w:color w:val="231F20"/>
          <w:spacing w:val="2"/>
        </w:rPr>
        <w:t>employee </w:t>
      </w:r>
      <w:r>
        <w:rPr>
          <w:color w:val="231F20"/>
          <w:spacing w:val="3"/>
        </w:rPr>
        <w:t>chose </w:t>
      </w:r>
      <w:r>
        <w:rPr>
          <w:color w:val="231F20"/>
        </w:rPr>
        <w:t>to keep his or her wallet in the stall. The school district also required the disclosure of medications prior to the testing, but this information was kept confidential. The court concluded </w:t>
      </w:r>
      <w:r>
        <w:rPr>
          <w:color w:val="231F20"/>
          <w:spacing w:val="-3"/>
        </w:rPr>
        <w:t>that </w:t>
      </w:r>
      <w:r>
        <w:rPr>
          <w:color w:val="231F20"/>
        </w:rPr>
        <w:t>these parts of the procedure did not change the character of the intrusion, which the court found to be minimally invasive.</w:t>
      </w:r>
      <w:r>
        <w:rPr>
          <w:color w:val="231F20"/>
          <w:spacing w:val="-28"/>
        </w:rPr>
        <w:t> </w:t>
      </w:r>
      <w:r>
        <w:rPr>
          <w:color w:val="231F20"/>
        </w:rPr>
        <w:t>Next,</w:t>
      </w:r>
      <w:r>
        <w:rPr>
          <w:color w:val="231F20"/>
          <w:spacing w:val="-28"/>
        </w:rPr>
        <w:t> </w:t>
      </w:r>
      <w:r>
        <w:rPr>
          <w:color w:val="231F20"/>
        </w:rPr>
        <w:t>the</w:t>
      </w:r>
      <w:r>
        <w:rPr>
          <w:color w:val="231F20"/>
          <w:spacing w:val="-28"/>
        </w:rPr>
        <w:t> </w:t>
      </w:r>
      <w:r>
        <w:rPr>
          <w:color w:val="231F20"/>
        </w:rPr>
        <w:t>court</w:t>
      </w:r>
      <w:r>
        <w:rPr>
          <w:color w:val="231F20"/>
          <w:spacing w:val="-28"/>
        </w:rPr>
        <w:t> </w:t>
      </w:r>
      <w:r>
        <w:rPr>
          <w:color w:val="231F20"/>
        </w:rPr>
        <w:t>considered</w:t>
      </w:r>
      <w:r>
        <w:rPr>
          <w:color w:val="231F20"/>
          <w:spacing w:val="-28"/>
        </w:rPr>
        <w:t> </w:t>
      </w:r>
      <w:r>
        <w:rPr>
          <w:color w:val="231F20"/>
          <w:spacing w:val="-2"/>
        </w:rPr>
        <w:t>the </w:t>
      </w:r>
      <w:r>
        <w:rPr>
          <w:color w:val="231F20"/>
        </w:rPr>
        <w:t>nature</w:t>
      </w:r>
      <w:r>
        <w:rPr>
          <w:color w:val="231F20"/>
          <w:spacing w:val="-24"/>
        </w:rPr>
        <w:t> </w:t>
      </w:r>
      <w:r>
        <w:rPr>
          <w:color w:val="231F20"/>
        </w:rPr>
        <w:t>and</w:t>
      </w:r>
      <w:r>
        <w:rPr>
          <w:color w:val="231F20"/>
          <w:spacing w:val="-23"/>
        </w:rPr>
        <w:t> </w:t>
      </w:r>
      <w:r>
        <w:rPr>
          <w:color w:val="231F20"/>
        </w:rPr>
        <w:t>extent</w:t>
      </w:r>
      <w:r>
        <w:rPr>
          <w:color w:val="231F20"/>
          <w:spacing w:val="-23"/>
        </w:rPr>
        <w:t> </w:t>
      </w:r>
      <w:r>
        <w:rPr>
          <w:color w:val="231F20"/>
        </w:rPr>
        <w:t>of</w:t>
      </w:r>
      <w:r>
        <w:rPr>
          <w:color w:val="231F20"/>
          <w:spacing w:val="-23"/>
        </w:rPr>
        <w:t> </w:t>
      </w:r>
      <w:r>
        <w:rPr>
          <w:color w:val="231F20"/>
        </w:rPr>
        <w:t>the</w:t>
      </w:r>
      <w:r>
        <w:rPr>
          <w:color w:val="231F20"/>
          <w:spacing w:val="-23"/>
        </w:rPr>
        <w:t> </w:t>
      </w:r>
      <w:r>
        <w:rPr>
          <w:color w:val="231F20"/>
        </w:rPr>
        <w:t>school</w:t>
      </w:r>
      <w:r>
        <w:rPr>
          <w:color w:val="231F20"/>
          <w:spacing w:val="-23"/>
        </w:rPr>
        <w:t> </w:t>
      </w:r>
      <w:r>
        <w:rPr>
          <w:color w:val="231F20"/>
          <w:spacing w:val="-3"/>
        </w:rPr>
        <w:t>district’s </w:t>
      </w:r>
      <w:r>
        <w:rPr>
          <w:color w:val="231F20"/>
        </w:rPr>
        <w:t>interest, which it again recognized as compelling. The government’s</w:t>
      </w:r>
      <w:r>
        <w:rPr>
          <w:color w:val="231F20"/>
          <w:spacing w:val="-36"/>
        </w:rPr>
        <w:t> </w:t>
      </w:r>
      <w:r>
        <w:rPr>
          <w:color w:val="231F20"/>
        </w:rPr>
        <w:t>interest is in protecting students before a drug problem arises or causes harm,</w:t>
      </w:r>
      <w:r>
        <w:rPr>
          <w:color w:val="231F20"/>
          <w:spacing w:val="-29"/>
        </w:rPr>
        <w:t> </w:t>
      </w:r>
      <w:r>
        <w:rPr>
          <w:color w:val="231F20"/>
        </w:rPr>
        <w:t>which interest</w:t>
      </w:r>
      <w:r>
        <w:rPr>
          <w:color w:val="231F20"/>
          <w:spacing w:val="-11"/>
        </w:rPr>
        <w:t> </w:t>
      </w:r>
      <w:r>
        <w:rPr>
          <w:color w:val="231F20"/>
        </w:rPr>
        <w:t>cannot</w:t>
      </w:r>
      <w:r>
        <w:rPr>
          <w:color w:val="231F20"/>
          <w:spacing w:val="-9"/>
        </w:rPr>
        <w:t> </w:t>
      </w:r>
      <w:r>
        <w:rPr>
          <w:color w:val="231F20"/>
        </w:rPr>
        <w:t>be</w:t>
      </w:r>
      <w:r>
        <w:rPr>
          <w:color w:val="231F20"/>
          <w:spacing w:val="-11"/>
        </w:rPr>
        <w:t> </w:t>
      </w:r>
      <w:r>
        <w:rPr>
          <w:color w:val="231F20"/>
        </w:rPr>
        <w:t>served</w:t>
      </w:r>
      <w:r>
        <w:rPr>
          <w:color w:val="231F20"/>
          <w:spacing w:val="-9"/>
        </w:rPr>
        <w:t> </w:t>
      </w:r>
      <w:r>
        <w:rPr>
          <w:color w:val="231F20"/>
        </w:rPr>
        <w:t>by</w:t>
      </w:r>
      <w:r>
        <w:rPr>
          <w:color w:val="231F20"/>
          <w:spacing w:val="-11"/>
        </w:rPr>
        <w:t> </w:t>
      </w:r>
      <w:r>
        <w:rPr>
          <w:color w:val="231F20"/>
        </w:rPr>
        <w:t>a</w:t>
      </w:r>
      <w:r>
        <w:rPr>
          <w:color w:val="231F20"/>
          <w:spacing w:val="-10"/>
        </w:rPr>
        <w:t> </w:t>
      </w:r>
      <w:r>
        <w:rPr>
          <w:color w:val="231F20"/>
        </w:rPr>
        <w:t>warrant </w:t>
      </w:r>
      <w:r>
        <w:rPr>
          <w:color w:val="231F20"/>
          <w:spacing w:val="4"/>
        </w:rPr>
        <w:t>requirement. </w:t>
      </w:r>
      <w:r>
        <w:rPr>
          <w:color w:val="231F20"/>
          <w:spacing w:val="2"/>
        </w:rPr>
        <w:t>Finally, in </w:t>
      </w:r>
      <w:r>
        <w:rPr>
          <w:color w:val="231F20"/>
          <w:spacing w:val="5"/>
        </w:rPr>
        <w:t>considering </w:t>
      </w:r>
      <w:r>
        <w:rPr>
          <w:color w:val="231F20"/>
        </w:rPr>
        <w:t>the efficacy of the test, the court did not determine whether the testing</w:t>
      </w:r>
      <w:r>
        <w:rPr>
          <w:color w:val="231F20"/>
          <w:spacing w:val="-39"/>
        </w:rPr>
        <w:t> </w:t>
      </w:r>
      <w:r>
        <w:rPr>
          <w:color w:val="231F20"/>
        </w:rPr>
        <w:t>was the most effective method for detect- ing drug use or whether an applicant could</w:t>
      </w:r>
      <w:r>
        <w:rPr>
          <w:color w:val="231F20"/>
          <w:spacing w:val="-13"/>
        </w:rPr>
        <w:t> </w:t>
      </w:r>
      <w:r>
        <w:rPr>
          <w:color w:val="231F20"/>
        </w:rPr>
        <w:t>use</w:t>
      </w:r>
      <w:r>
        <w:rPr>
          <w:color w:val="231F20"/>
          <w:spacing w:val="-12"/>
        </w:rPr>
        <w:t> </w:t>
      </w:r>
      <w:r>
        <w:rPr>
          <w:color w:val="231F20"/>
        </w:rPr>
        <w:t>means</w:t>
      </w:r>
      <w:r>
        <w:rPr>
          <w:color w:val="231F20"/>
          <w:spacing w:val="-13"/>
        </w:rPr>
        <w:t> </w:t>
      </w:r>
      <w:r>
        <w:rPr>
          <w:color w:val="231F20"/>
        </w:rPr>
        <w:t>to</w:t>
      </w:r>
      <w:r>
        <w:rPr>
          <w:color w:val="231F20"/>
          <w:spacing w:val="-12"/>
        </w:rPr>
        <w:t> </w:t>
      </w:r>
      <w:r>
        <w:rPr>
          <w:color w:val="231F20"/>
        </w:rPr>
        <w:t>pass</w:t>
      </w:r>
      <w:r>
        <w:rPr>
          <w:color w:val="231F20"/>
          <w:spacing w:val="-12"/>
        </w:rPr>
        <w:t> </w:t>
      </w:r>
      <w:r>
        <w:rPr>
          <w:color w:val="231F20"/>
        </w:rPr>
        <w:t>the</w:t>
      </w:r>
      <w:r>
        <w:rPr>
          <w:color w:val="231F20"/>
          <w:spacing w:val="-13"/>
        </w:rPr>
        <w:t> </w:t>
      </w:r>
      <w:r>
        <w:rPr>
          <w:color w:val="231F20"/>
        </w:rPr>
        <w:t>test</w:t>
      </w:r>
      <w:r>
        <w:rPr>
          <w:color w:val="231F20"/>
          <w:spacing w:val="-12"/>
        </w:rPr>
        <w:t> </w:t>
      </w:r>
      <w:r>
        <w:rPr>
          <w:color w:val="231F20"/>
        </w:rPr>
        <w:t>while still abusing drugs. It considered only whether</w:t>
      </w:r>
      <w:r>
        <w:rPr>
          <w:color w:val="231F20"/>
          <w:spacing w:val="-23"/>
        </w:rPr>
        <w:t> </w:t>
      </w:r>
      <w:r>
        <w:rPr>
          <w:color w:val="231F20"/>
        </w:rPr>
        <w:t>the</w:t>
      </w:r>
      <w:r>
        <w:rPr>
          <w:color w:val="231F20"/>
          <w:spacing w:val="-23"/>
        </w:rPr>
        <w:t> </w:t>
      </w:r>
      <w:r>
        <w:rPr>
          <w:color w:val="231F20"/>
        </w:rPr>
        <w:t>testing</w:t>
      </w:r>
      <w:r>
        <w:rPr>
          <w:color w:val="231F20"/>
          <w:spacing w:val="-23"/>
        </w:rPr>
        <w:t> </w:t>
      </w:r>
      <w:r>
        <w:rPr>
          <w:color w:val="231F20"/>
        </w:rPr>
        <w:t>policy</w:t>
      </w:r>
      <w:r>
        <w:rPr>
          <w:color w:val="231F20"/>
          <w:spacing w:val="-23"/>
        </w:rPr>
        <w:t> </w:t>
      </w:r>
      <w:r>
        <w:rPr>
          <w:color w:val="231F20"/>
        </w:rPr>
        <w:t>was</w:t>
      </w:r>
      <w:r>
        <w:rPr>
          <w:color w:val="231F20"/>
          <w:spacing w:val="-23"/>
        </w:rPr>
        <w:t> </w:t>
      </w:r>
      <w:r>
        <w:rPr>
          <w:color w:val="231F20"/>
        </w:rPr>
        <w:t>an</w:t>
      </w:r>
      <w:r>
        <w:rPr>
          <w:color w:val="231F20"/>
          <w:spacing w:val="-23"/>
        </w:rPr>
        <w:t> </w:t>
      </w:r>
      <w:r>
        <w:rPr>
          <w:color w:val="231F20"/>
          <w:spacing w:val="-3"/>
        </w:rPr>
        <w:t>effec- </w:t>
      </w:r>
      <w:r>
        <w:rPr>
          <w:color w:val="231F20"/>
        </w:rPr>
        <w:t>tive means for deterring drug use,</w:t>
      </w:r>
      <w:r>
        <w:rPr>
          <w:color w:val="231F20"/>
          <w:spacing w:val="-40"/>
        </w:rPr>
        <w:t> </w:t>
      </w:r>
      <w:r>
        <w:rPr>
          <w:color w:val="231F20"/>
        </w:rPr>
        <w:t>and the court found that it</w:t>
      </w:r>
      <w:r>
        <w:rPr>
          <w:color w:val="231F20"/>
          <w:spacing w:val="-3"/>
        </w:rPr>
        <w:t> </w:t>
      </w:r>
      <w:r>
        <w:rPr>
          <w:color w:val="231F20"/>
        </w:rPr>
        <w:t>was.</w:t>
      </w:r>
    </w:p>
    <w:p>
      <w:pPr>
        <w:pStyle w:val="BodyText"/>
        <w:spacing w:line="254" w:lineRule="auto" w:before="30"/>
        <w:ind w:left="120" w:right="41" w:firstLine="180"/>
        <w:jc w:val="both"/>
        <w:rPr>
          <w:sz w:val="12"/>
        </w:rPr>
      </w:pPr>
      <w:r>
        <w:rPr>
          <w:color w:val="231F20"/>
        </w:rPr>
        <w:t>After considering these factors, </w:t>
      </w:r>
      <w:r>
        <w:rPr>
          <w:color w:val="231F20"/>
          <w:spacing w:val="-4"/>
        </w:rPr>
        <w:t>the </w:t>
      </w:r>
      <w:r>
        <w:rPr>
          <w:color w:val="231F20"/>
        </w:rPr>
        <w:t>court concluded that the</w:t>
      </w:r>
      <w:r>
        <w:rPr>
          <w:color w:val="231F20"/>
          <w:spacing w:val="-41"/>
        </w:rPr>
        <w:t> </w:t>
      </w:r>
      <w:r>
        <w:rPr>
          <w:color w:val="231F20"/>
        </w:rPr>
        <w:t>government’s </w:t>
      </w:r>
      <w:r>
        <w:rPr>
          <w:color w:val="231F20"/>
          <w:spacing w:val="2"/>
        </w:rPr>
        <w:t>special need </w:t>
      </w:r>
      <w:r>
        <w:rPr>
          <w:color w:val="231F20"/>
        </w:rPr>
        <w:t>for the </w:t>
      </w:r>
      <w:r>
        <w:rPr>
          <w:color w:val="231F20"/>
          <w:spacing w:val="2"/>
        </w:rPr>
        <w:t>drug testing </w:t>
      </w:r>
      <w:r>
        <w:rPr>
          <w:color w:val="231F20"/>
          <w:spacing w:val="3"/>
        </w:rPr>
        <w:t>of </w:t>
      </w:r>
      <w:r>
        <w:rPr>
          <w:color w:val="231F20"/>
        </w:rPr>
        <w:t>substitute teachers in public schools outweighed the teachers’ privacy in- terests. The court explained that the school</w:t>
      </w:r>
      <w:r>
        <w:rPr>
          <w:color w:val="231F20"/>
          <w:spacing w:val="-25"/>
        </w:rPr>
        <w:t> </w:t>
      </w:r>
      <w:r>
        <w:rPr>
          <w:color w:val="231F20"/>
          <w:spacing w:val="-3"/>
        </w:rPr>
        <w:t>district’s</w:t>
      </w:r>
      <w:r>
        <w:rPr>
          <w:color w:val="231F20"/>
          <w:spacing w:val="-24"/>
        </w:rPr>
        <w:t> </w:t>
      </w:r>
      <w:r>
        <w:rPr>
          <w:color w:val="231F20"/>
        </w:rPr>
        <w:t>drug</w:t>
      </w:r>
      <w:r>
        <w:rPr>
          <w:color w:val="231F20"/>
          <w:spacing w:val="-24"/>
        </w:rPr>
        <w:t> </w:t>
      </w:r>
      <w:r>
        <w:rPr>
          <w:color w:val="231F20"/>
        </w:rPr>
        <w:t>testing</w:t>
      </w:r>
      <w:r>
        <w:rPr>
          <w:color w:val="231F20"/>
          <w:spacing w:val="-25"/>
        </w:rPr>
        <w:t> </w:t>
      </w:r>
      <w:r>
        <w:rPr>
          <w:color w:val="231F20"/>
        </w:rPr>
        <w:t>protocol</w:t>
      </w:r>
      <w:r>
        <w:rPr>
          <w:color w:val="231F20"/>
          <w:spacing w:val="-24"/>
        </w:rPr>
        <w:t> </w:t>
      </w:r>
      <w:r>
        <w:rPr>
          <w:color w:val="231F20"/>
          <w:spacing w:val="-2"/>
        </w:rPr>
        <w:t>for </w:t>
      </w:r>
      <w:r>
        <w:rPr>
          <w:color w:val="231F20"/>
          <w:spacing w:val="-3"/>
        </w:rPr>
        <w:t>substitute</w:t>
      </w:r>
      <w:r>
        <w:rPr>
          <w:color w:val="231F20"/>
          <w:spacing w:val="-18"/>
        </w:rPr>
        <w:t> </w:t>
      </w:r>
      <w:r>
        <w:rPr>
          <w:color w:val="231F20"/>
          <w:spacing w:val="-3"/>
        </w:rPr>
        <w:t>teachers,</w:t>
      </w:r>
      <w:r>
        <w:rPr>
          <w:color w:val="231F20"/>
          <w:spacing w:val="-18"/>
        </w:rPr>
        <w:t> </w:t>
      </w:r>
      <w:r>
        <w:rPr>
          <w:color w:val="231F20"/>
          <w:spacing w:val="-3"/>
        </w:rPr>
        <w:t>which</w:t>
      </w:r>
      <w:r>
        <w:rPr>
          <w:color w:val="231F20"/>
          <w:spacing w:val="-19"/>
        </w:rPr>
        <w:t> </w:t>
      </w:r>
      <w:r>
        <w:rPr>
          <w:color w:val="231F20"/>
        </w:rPr>
        <w:t>was</w:t>
      </w:r>
      <w:r>
        <w:rPr>
          <w:color w:val="231F20"/>
          <w:spacing w:val="-18"/>
        </w:rPr>
        <w:t> </w:t>
      </w:r>
      <w:r>
        <w:rPr>
          <w:color w:val="231F20"/>
          <w:spacing w:val="-3"/>
        </w:rPr>
        <w:t>“reason- </w:t>
      </w:r>
      <w:r>
        <w:rPr>
          <w:color w:val="231F20"/>
        </w:rPr>
        <w:t>ably effective,” is a minimal intrusion on the diminished privacy interests of these</w:t>
      </w:r>
      <w:r>
        <w:rPr>
          <w:color w:val="231F20"/>
          <w:spacing w:val="-25"/>
        </w:rPr>
        <w:t> </w:t>
      </w:r>
      <w:r>
        <w:rPr>
          <w:color w:val="231F20"/>
        </w:rPr>
        <w:t>employees,</w:t>
      </w:r>
      <w:r>
        <w:rPr>
          <w:color w:val="231F20"/>
          <w:spacing w:val="-25"/>
        </w:rPr>
        <w:t> </w:t>
      </w:r>
      <w:r>
        <w:rPr>
          <w:color w:val="231F20"/>
        </w:rPr>
        <w:t>in</w:t>
      </w:r>
      <w:r>
        <w:rPr>
          <w:color w:val="231F20"/>
          <w:spacing w:val="-24"/>
        </w:rPr>
        <w:t> </w:t>
      </w:r>
      <w:r>
        <w:rPr>
          <w:color w:val="231F20"/>
        </w:rPr>
        <w:t>the</w:t>
      </w:r>
      <w:r>
        <w:rPr>
          <w:color w:val="231F20"/>
          <w:spacing w:val="-25"/>
        </w:rPr>
        <w:t> </w:t>
      </w:r>
      <w:r>
        <w:rPr>
          <w:color w:val="231F20"/>
        </w:rPr>
        <w:t>service</w:t>
      </w:r>
      <w:r>
        <w:rPr>
          <w:color w:val="231F20"/>
          <w:spacing w:val="-25"/>
        </w:rPr>
        <w:t> </w:t>
      </w:r>
      <w:r>
        <w:rPr>
          <w:color w:val="231F20"/>
        </w:rPr>
        <w:t>of</w:t>
      </w:r>
      <w:r>
        <w:rPr>
          <w:color w:val="231F20"/>
          <w:spacing w:val="-24"/>
        </w:rPr>
        <w:t> </w:t>
      </w:r>
      <w:r>
        <w:rPr>
          <w:color w:val="231F20"/>
        </w:rPr>
        <w:t>a</w:t>
      </w:r>
      <w:r>
        <w:rPr>
          <w:color w:val="231F20"/>
          <w:spacing w:val="-25"/>
        </w:rPr>
        <w:t> </w:t>
      </w:r>
      <w:r>
        <w:rPr>
          <w:color w:val="231F20"/>
        </w:rPr>
        <w:t>se- rious and compelling need.</w:t>
      </w:r>
      <w:r>
        <w:rPr>
          <w:color w:val="231F20"/>
          <w:spacing w:val="-16"/>
        </w:rPr>
        <w:t> </w:t>
      </w:r>
      <w:r>
        <w:rPr>
          <w:color w:val="231F20"/>
        </w:rPr>
        <w:t>Therefore, it affirmed the district court’s denial of the</w:t>
      </w:r>
      <w:r>
        <w:rPr>
          <w:color w:val="231F20"/>
          <w:spacing w:val="-21"/>
        </w:rPr>
        <w:t> </w:t>
      </w:r>
      <w:r>
        <w:rPr>
          <w:color w:val="231F20"/>
        </w:rPr>
        <w:t>plaintiff’s</w:t>
      </w:r>
      <w:r>
        <w:rPr>
          <w:color w:val="231F20"/>
          <w:spacing w:val="-20"/>
        </w:rPr>
        <w:t> </w:t>
      </w:r>
      <w:r>
        <w:rPr>
          <w:color w:val="231F20"/>
        </w:rPr>
        <w:t>request</w:t>
      </w:r>
      <w:r>
        <w:rPr>
          <w:color w:val="231F20"/>
          <w:spacing w:val="-21"/>
        </w:rPr>
        <w:t> </w:t>
      </w:r>
      <w:r>
        <w:rPr>
          <w:color w:val="231F20"/>
        </w:rPr>
        <w:t>to</w:t>
      </w:r>
      <w:r>
        <w:rPr>
          <w:color w:val="231F20"/>
          <w:spacing w:val="-20"/>
        </w:rPr>
        <w:t> </w:t>
      </w:r>
      <w:r>
        <w:rPr>
          <w:color w:val="231F20"/>
        </w:rPr>
        <w:t>enjoin</w:t>
      </w:r>
      <w:r>
        <w:rPr>
          <w:color w:val="231F20"/>
          <w:spacing w:val="-20"/>
        </w:rPr>
        <w:t> </w:t>
      </w:r>
      <w:r>
        <w:rPr>
          <w:color w:val="231F20"/>
        </w:rPr>
        <w:t>this</w:t>
      </w:r>
      <w:r>
        <w:rPr>
          <w:color w:val="231F20"/>
          <w:spacing w:val="-20"/>
        </w:rPr>
        <w:t> </w:t>
      </w:r>
      <w:r>
        <w:rPr>
          <w:color w:val="231F20"/>
        </w:rPr>
        <w:t>drug testing </w:t>
      </w:r>
      <w:r>
        <w:rPr>
          <w:color w:val="231F20"/>
          <w:spacing w:val="-3"/>
        </w:rPr>
        <w:t>policy.</w:t>
      </w:r>
      <w:r>
        <w:rPr>
          <w:color w:val="231F20"/>
          <w:spacing w:val="-3"/>
          <w:position w:val="7"/>
          <w:sz w:val="12"/>
        </w:rPr>
        <w:t>27</w:t>
      </w:r>
    </w:p>
    <w:p>
      <w:pPr>
        <w:pStyle w:val="BodyText"/>
        <w:spacing w:line="254" w:lineRule="auto" w:before="11"/>
        <w:ind w:left="120" w:right="38" w:firstLine="180"/>
        <w:jc w:val="both"/>
      </w:pPr>
      <w:r>
        <w:rPr>
          <w:i/>
          <w:color w:val="231F20"/>
        </w:rPr>
        <w:t>Friedenberg </w:t>
      </w:r>
      <w:r>
        <w:rPr>
          <w:color w:val="231F20"/>
        </w:rPr>
        <w:t>presents three</w:t>
      </w:r>
      <w:r>
        <w:rPr>
          <w:color w:val="231F20"/>
          <w:spacing w:val="-37"/>
        </w:rPr>
        <w:t> </w:t>
      </w:r>
      <w:r>
        <w:rPr>
          <w:color w:val="231F20"/>
        </w:rPr>
        <w:t>lessons. </w:t>
      </w:r>
      <w:r>
        <w:rPr>
          <w:color w:val="231F20"/>
          <w:spacing w:val="5"/>
        </w:rPr>
        <w:t>First, </w:t>
      </w:r>
      <w:r>
        <w:rPr>
          <w:color w:val="231F20"/>
          <w:spacing w:val="4"/>
        </w:rPr>
        <w:t>the </w:t>
      </w:r>
      <w:r>
        <w:rPr>
          <w:color w:val="231F20"/>
          <w:spacing w:val="6"/>
        </w:rPr>
        <w:t>Eleventh Circuit </w:t>
      </w:r>
      <w:r>
        <w:rPr>
          <w:color w:val="231F20"/>
          <w:spacing w:val="4"/>
        </w:rPr>
        <w:t>and</w:t>
      </w:r>
      <w:r>
        <w:rPr>
          <w:color w:val="231F20"/>
          <w:spacing w:val="21"/>
        </w:rPr>
        <w:t> </w:t>
      </w:r>
      <w:r>
        <w:rPr>
          <w:color w:val="231F20"/>
          <w:spacing w:val="7"/>
        </w:rPr>
        <w:t>the</w:t>
      </w:r>
    </w:p>
    <w:p>
      <w:pPr>
        <w:pStyle w:val="BodyText"/>
        <w:spacing w:line="252" w:lineRule="auto" w:before="78"/>
        <w:ind w:left="120" w:right="60"/>
        <w:jc w:val="both"/>
      </w:pPr>
      <w:r>
        <w:rPr/>
        <w:br w:type="column"/>
      </w:r>
      <w:r>
        <w:rPr>
          <w:color w:val="231F20"/>
        </w:rPr>
        <w:t>courts will continue to scrutinize drug testing of public employees based on the specific factual context, including the drug testing protocol, the efficacy of</w:t>
      </w:r>
      <w:r>
        <w:rPr>
          <w:color w:val="231F20"/>
          <w:spacing w:val="-26"/>
        </w:rPr>
        <w:t> </w:t>
      </w:r>
      <w:r>
        <w:rPr>
          <w:color w:val="231F20"/>
        </w:rPr>
        <w:t>the</w:t>
      </w:r>
      <w:r>
        <w:rPr>
          <w:color w:val="231F20"/>
          <w:spacing w:val="-26"/>
        </w:rPr>
        <w:t> </w:t>
      </w:r>
      <w:r>
        <w:rPr>
          <w:color w:val="231F20"/>
        </w:rPr>
        <w:t>drug</w:t>
      </w:r>
      <w:r>
        <w:rPr>
          <w:color w:val="231F20"/>
          <w:spacing w:val="-26"/>
        </w:rPr>
        <w:t> </w:t>
      </w:r>
      <w:r>
        <w:rPr>
          <w:color w:val="231F20"/>
        </w:rPr>
        <w:t>testing,</w:t>
      </w:r>
      <w:r>
        <w:rPr>
          <w:color w:val="231F20"/>
          <w:spacing w:val="-25"/>
        </w:rPr>
        <w:t> </w:t>
      </w:r>
      <w:r>
        <w:rPr>
          <w:color w:val="231F20"/>
        </w:rPr>
        <w:t>and</w:t>
      </w:r>
      <w:r>
        <w:rPr>
          <w:color w:val="231F20"/>
          <w:spacing w:val="-26"/>
        </w:rPr>
        <w:t> </w:t>
      </w:r>
      <w:r>
        <w:rPr>
          <w:color w:val="231F20"/>
        </w:rPr>
        <w:t>the</w:t>
      </w:r>
      <w:r>
        <w:rPr>
          <w:color w:val="231F20"/>
          <w:spacing w:val="-26"/>
        </w:rPr>
        <w:t> </w:t>
      </w:r>
      <w:r>
        <w:rPr>
          <w:color w:val="231F20"/>
        </w:rPr>
        <w:t>responsibili- ties of the position.</w:t>
      </w:r>
      <w:r>
        <w:rPr>
          <w:color w:val="231F20"/>
          <w:position w:val="7"/>
          <w:sz w:val="12"/>
        </w:rPr>
        <w:t>28 </w:t>
      </w:r>
      <w:r>
        <w:rPr>
          <w:color w:val="231F20"/>
        </w:rPr>
        <w:t>While there are a few</w:t>
      </w:r>
      <w:r>
        <w:rPr>
          <w:color w:val="231F20"/>
          <w:spacing w:val="-13"/>
        </w:rPr>
        <w:t> </w:t>
      </w:r>
      <w:r>
        <w:rPr>
          <w:color w:val="231F20"/>
        </w:rPr>
        <w:t>positions,</w:t>
      </w:r>
      <w:r>
        <w:rPr>
          <w:color w:val="231F20"/>
          <w:spacing w:val="-12"/>
        </w:rPr>
        <w:t> </w:t>
      </w:r>
      <w:r>
        <w:rPr>
          <w:color w:val="231F20"/>
        </w:rPr>
        <w:t>now</w:t>
      </w:r>
      <w:r>
        <w:rPr>
          <w:color w:val="231F20"/>
          <w:spacing w:val="-12"/>
        </w:rPr>
        <w:t> </w:t>
      </w:r>
      <w:r>
        <w:rPr>
          <w:color w:val="231F20"/>
        </w:rPr>
        <w:t>including</w:t>
      </w:r>
      <w:r>
        <w:rPr>
          <w:color w:val="231F20"/>
          <w:spacing w:val="-12"/>
        </w:rPr>
        <w:t> </w:t>
      </w:r>
      <w:r>
        <w:rPr>
          <w:color w:val="231F20"/>
        </w:rPr>
        <w:t>substitute teachers, where the Eleventh Circuit has</w:t>
      </w:r>
      <w:r>
        <w:rPr>
          <w:color w:val="231F20"/>
          <w:spacing w:val="-19"/>
        </w:rPr>
        <w:t> </w:t>
      </w:r>
      <w:r>
        <w:rPr>
          <w:color w:val="231F20"/>
        </w:rPr>
        <w:t>recognized</w:t>
      </w:r>
      <w:r>
        <w:rPr>
          <w:color w:val="231F20"/>
          <w:spacing w:val="-18"/>
        </w:rPr>
        <w:t> </w:t>
      </w:r>
      <w:r>
        <w:rPr>
          <w:color w:val="231F20"/>
        </w:rPr>
        <w:t>a</w:t>
      </w:r>
      <w:r>
        <w:rPr>
          <w:color w:val="231F20"/>
          <w:spacing w:val="-19"/>
        </w:rPr>
        <w:t> </w:t>
      </w:r>
      <w:r>
        <w:rPr>
          <w:color w:val="231F20"/>
        </w:rPr>
        <w:t>special</w:t>
      </w:r>
      <w:r>
        <w:rPr>
          <w:color w:val="231F20"/>
          <w:spacing w:val="-18"/>
        </w:rPr>
        <w:t> </w:t>
      </w:r>
      <w:r>
        <w:rPr>
          <w:color w:val="231F20"/>
        </w:rPr>
        <w:t>need</w:t>
      </w:r>
      <w:r>
        <w:rPr>
          <w:color w:val="231F20"/>
          <w:spacing w:val="-18"/>
        </w:rPr>
        <w:t> </w:t>
      </w:r>
      <w:r>
        <w:rPr>
          <w:color w:val="231F20"/>
        </w:rPr>
        <w:t>for</w:t>
      </w:r>
      <w:r>
        <w:rPr>
          <w:color w:val="231F20"/>
          <w:spacing w:val="-19"/>
        </w:rPr>
        <w:t> </w:t>
      </w:r>
      <w:r>
        <w:rPr>
          <w:color w:val="231F20"/>
        </w:rPr>
        <w:t>drug </w:t>
      </w:r>
      <w:r>
        <w:rPr>
          <w:color w:val="231F20"/>
          <w:spacing w:val="3"/>
        </w:rPr>
        <w:t>testing, this list </w:t>
      </w:r>
      <w:r>
        <w:rPr>
          <w:color w:val="231F20"/>
        </w:rPr>
        <w:t>is </w:t>
      </w:r>
      <w:r>
        <w:rPr>
          <w:color w:val="231F20"/>
          <w:spacing w:val="2"/>
        </w:rPr>
        <w:t>far </w:t>
      </w:r>
      <w:r>
        <w:rPr>
          <w:color w:val="231F20"/>
          <w:spacing w:val="3"/>
        </w:rPr>
        <w:t>from exhaus- </w:t>
      </w:r>
      <w:r>
        <w:rPr>
          <w:color w:val="231F20"/>
        </w:rPr>
        <w:t>tive.</w:t>
      </w:r>
      <w:r>
        <w:rPr>
          <w:color w:val="231F20"/>
          <w:position w:val="7"/>
          <w:sz w:val="12"/>
        </w:rPr>
        <w:t>29 </w:t>
      </w:r>
      <w:r>
        <w:rPr>
          <w:color w:val="231F20"/>
        </w:rPr>
        <w:t>Second, public employers are not required to provide empirical data to establish a special need for drug testing if they can show that there is a common sense need for drug testing, </w:t>
      </w:r>
      <w:r>
        <w:rPr>
          <w:color w:val="231F20"/>
          <w:spacing w:val="2"/>
        </w:rPr>
        <w:t>considering </w:t>
      </w:r>
      <w:r>
        <w:rPr>
          <w:color w:val="231F20"/>
        </w:rPr>
        <w:t>the likelihood and grav- ity of </w:t>
      </w:r>
      <w:r>
        <w:rPr>
          <w:color w:val="231F20"/>
          <w:spacing w:val="2"/>
        </w:rPr>
        <w:t>harm. </w:t>
      </w:r>
      <w:r>
        <w:rPr>
          <w:color w:val="231F20"/>
        </w:rPr>
        <w:t>Toward </w:t>
      </w:r>
      <w:r>
        <w:rPr>
          <w:color w:val="231F20"/>
          <w:spacing w:val="2"/>
        </w:rPr>
        <w:t>this end, </w:t>
      </w:r>
      <w:r>
        <w:rPr>
          <w:color w:val="231F20"/>
          <w:spacing w:val="3"/>
        </w:rPr>
        <w:t>public </w:t>
      </w:r>
      <w:r>
        <w:rPr>
          <w:color w:val="231F20"/>
        </w:rPr>
        <w:t>employers need to ensure that their job descriptions and other evidence reflect</w:t>
      </w:r>
      <w:r>
        <w:rPr>
          <w:color w:val="231F20"/>
          <w:spacing w:val="-28"/>
        </w:rPr>
        <w:t> </w:t>
      </w:r>
      <w:r>
        <w:rPr>
          <w:color w:val="231F20"/>
        </w:rPr>
        <w:t>the</w:t>
      </w:r>
      <w:r>
        <w:rPr>
          <w:color w:val="231F20"/>
          <w:spacing w:val="-28"/>
        </w:rPr>
        <w:t> </w:t>
      </w:r>
      <w:r>
        <w:rPr>
          <w:color w:val="231F20"/>
        </w:rPr>
        <w:t>safety-sensitive</w:t>
      </w:r>
      <w:r>
        <w:rPr>
          <w:color w:val="231F20"/>
          <w:spacing w:val="-27"/>
        </w:rPr>
        <w:t> </w:t>
      </w:r>
      <w:r>
        <w:rPr>
          <w:color w:val="231F20"/>
        </w:rPr>
        <w:t>nature</w:t>
      </w:r>
      <w:r>
        <w:rPr>
          <w:color w:val="231F20"/>
          <w:spacing w:val="-28"/>
        </w:rPr>
        <w:t> </w:t>
      </w:r>
      <w:r>
        <w:rPr>
          <w:color w:val="231F20"/>
        </w:rPr>
        <w:t>of</w:t>
      </w:r>
      <w:r>
        <w:rPr>
          <w:color w:val="231F20"/>
          <w:spacing w:val="-28"/>
        </w:rPr>
        <w:t> </w:t>
      </w:r>
      <w:r>
        <w:rPr>
          <w:color w:val="231F20"/>
          <w:spacing w:val="-2"/>
        </w:rPr>
        <w:t>the </w:t>
      </w:r>
      <w:r>
        <w:rPr>
          <w:color w:val="231F20"/>
        </w:rPr>
        <w:t>position for which they are conducting drug testing and understand why they are</w:t>
      </w:r>
      <w:r>
        <w:rPr>
          <w:color w:val="231F20"/>
          <w:spacing w:val="-31"/>
        </w:rPr>
        <w:t> </w:t>
      </w:r>
      <w:r>
        <w:rPr>
          <w:color w:val="231F20"/>
        </w:rPr>
        <w:t>requiring</w:t>
      </w:r>
      <w:r>
        <w:rPr>
          <w:color w:val="231F20"/>
          <w:spacing w:val="-30"/>
        </w:rPr>
        <w:t> </w:t>
      </w:r>
      <w:r>
        <w:rPr>
          <w:color w:val="231F20"/>
        </w:rPr>
        <w:t>suspicionless</w:t>
      </w:r>
      <w:r>
        <w:rPr>
          <w:color w:val="231F20"/>
          <w:spacing w:val="-31"/>
        </w:rPr>
        <w:t> </w:t>
      </w:r>
      <w:r>
        <w:rPr>
          <w:color w:val="231F20"/>
        </w:rPr>
        <w:t>drug</w:t>
      </w:r>
      <w:r>
        <w:rPr>
          <w:color w:val="231F20"/>
          <w:spacing w:val="-30"/>
        </w:rPr>
        <w:t> </w:t>
      </w:r>
      <w:r>
        <w:rPr>
          <w:color w:val="231F20"/>
        </w:rPr>
        <w:t>testing for</w:t>
      </w:r>
      <w:r>
        <w:rPr>
          <w:color w:val="231F20"/>
          <w:spacing w:val="-21"/>
        </w:rPr>
        <w:t> </w:t>
      </w:r>
      <w:r>
        <w:rPr>
          <w:color w:val="231F20"/>
        </w:rPr>
        <w:t>each</w:t>
      </w:r>
      <w:r>
        <w:rPr>
          <w:color w:val="231F20"/>
          <w:spacing w:val="-21"/>
        </w:rPr>
        <w:t> </w:t>
      </w:r>
      <w:r>
        <w:rPr>
          <w:color w:val="231F20"/>
        </w:rPr>
        <w:t>position.</w:t>
      </w:r>
      <w:r>
        <w:rPr>
          <w:color w:val="231F20"/>
          <w:spacing w:val="-20"/>
        </w:rPr>
        <w:t> </w:t>
      </w:r>
      <w:r>
        <w:rPr>
          <w:color w:val="231F20"/>
        </w:rPr>
        <w:t>In</w:t>
      </w:r>
      <w:r>
        <w:rPr>
          <w:color w:val="231F20"/>
          <w:spacing w:val="-21"/>
        </w:rPr>
        <w:t> </w:t>
      </w:r>
      <w:r>
        <w:rPr>
          <w:color w:val="231F20"/>
        </w:rPr>
        <w:t>other</w:t>
      </w:r>
      <w:r>
        <w:rPr>
          <w:color w:val="231F20"/>
          <w:spacing w:val="-20"/>
        </w:rPr>
        <w:t> </w:t>
      </w:r>
      <w:r>
        <w:rPr>
          <w:color w:val="231F20"/>
        </w:rPr>
        <w:t>words,</w:t>
      </w:r>
      <w:r>
        <w:rPr>
          <w:color w:val="231F20"/>
          <w:spacing w:val="-21"/>
        </w:rPr>
        <w:t> </w:t>
      </w:r>
      <w:r>
        <w:rPr>
          <w:color w:val="231F20"/>
        </w:rPr>
        <w:t>public employers</w:t>
      </w:r>
      <w:r>
        <w:rPr>
          <w:color w:val="231F20"/>
          <w:spacing w:val="-15"/>
        </w:rPr>
        <w:t> </w:t>
      </w:r>
      <w:r>
        <w:rPr>
          <w:color w:val="231F20"/>
        </w:rPr>
        <w:t>need</w:t>
      </w:r>
      <w:r>
        <w:rPr>
          <w:color w:val="231F20"/>
          <w:spacing w:val="-15"/>
        </w:rPr>
        <w:t> </w:t>
      </w:r>
      <w:r>
        <w:rPr>
          <w:color w:val="231F20"/>
        </w:rPr>
        <w:t>to</w:t>
      </w:r>
      <w:r>
        <w:rPr>
          <w:color w:val="231F20"/>
          <w:spacing w:val="-14"/>
        </w:rPr>
        <w:t> </w:t>
      </w:r>
      <w:r>
        <w:rPr>
          <w:color w:val="231F20"/>
        </w:rPr>
        <w:t>be</w:t>
      </w:r>
      <w:r>
        <w:rPr>
          <w:color w:val="231F20"/>
          <w:spacing w:val="-15"/>
        </w:rPr>
        <w:t> </w:t>
      </w:r>
      <w:r>
        <w:rPr>
          <w:color w:val="231F20"/>
        </w:rPr>
        <w:t>able</w:t>
      </w:r>
      <w:r>
        <w:rPr>
          <w:color w:val="231F20"/>
          <w:spacing w:val="-14"/>
        </w:rPr>
        <w:t> </w:t>
      </w:r>
      <w:r>
        <w:rPr>
          <w:color w:val="231F20"/>
        </w:rPr>
        <w:t>to</w:t>
      </w:r>
      <w:r>
        <w:rPr>
          <w:color w:val="231F20"/>
          <w:spacing w:val="-15"/>
        </w:rPr>
        <w:t> </w:t>
      </w:r>
      <w:r>
        <w:rPr>
          <w:color w:val="231F20"/>
        </w:rPr>
        <w:t>establish that</w:t>
      </w:r>
      <w:r>
        <w:rPr>
          <w:color w:val="231F20"/>
          <w:spacing w:val="-17"/>
        </w:rPr>
        <w:t> </w:t>
      </w:r>
      <w:r>
        <w:rPr>
          <w:color w:val="231F20"/>
        </w:rPr>
        <w:t>the</w:t>
      </w:r>
      <w:r>
        <w:rPr>
          <w:color w:val="231F20"/>
          <w:spacing w:val="-16"/>
        </w:rPr>
        <w:t> </w:t>
      </w:r>
      <w:r>
        <w:rPr>
          <w:color w:val="231F20"/>
        </w:rPr>
        <w:t>duties</w:t>
      </w:r>
      <w:r>
        <w:rPr>
          <w:color w:val="231F20"/>
          <w:spacing w:val="-17"/>
        </w:rPr>
        <w:t> </w:t>
      </w:r>
      <w:r>
        <w:rPr>
          <w:color w:val="231F20"/>
        </w:rPr>
        <w:t>of</w:t>
      </w:r>
      <w:r>
        <w:rPr>
          <w:color w:val="231F20"/>
          <w:spacing w:val="-16"/>
        </w:rPr>
        <w:t> </w:t>
      </w:r>
      <w:r>
        <w:rPr>
          <w:color w:val="231F20"/>
        </w:rPr>
        <w:t>the</w:t>
      </w:r>
      <w:r>
        <w:rPr>
          <w:color w:val="231F20"/>
          <w:spacing w:val="-17"/>
        </w:rPr>
        <w:t> </w:t>
      </w:r>
      <w:r>
        <w:rPr>
          <w:color w:val="231F20"/>
        </w:rPr>
        <w:t>position</w:t>
      </w:r>
      <w:r>
        <w:rPr>
          <w:color w:val="231F20"/>
          <w:spacing w:val="-16"/>
        </w:rPr>
        <w:t> </w:t>
      </w:r>
      <w:r>
        <w:rPr>
          <w:color w:val="231F20"/>
        </w:rPr>
        <w:t>justify</w:t>
      </w:r>
      <w:r>
        <w:rPr>
          <w:color w:val="231F20"/>
          <w:spacing w:val="-17"/>
        </w:rPr>
        <w:t> </w:t>
      </w:r>
      <w:r>
        <w:rPr>
          <w:color w:val="231F20"/>
        </w:rPr>
        <w:t>the invasion of </w:t>
      </w:r>
      <w:r>
        <w:rPr>
          <w:color w:val="231F20"/>
          <w:spacing w:val="-3"/>
        </w:rPr>
        <w:t>privacy. </w:t>
      </w:r>
      <w:r>
        <w:rPr>
          <w:color w:val="231F20"/>
        </w:rPr>
        <w:t>Finally, substitute teachers</w:t>
      </w:r>
      <w:r>
        <w:rPr>
          <w:color w:val="231F20"/>
          <w:spacing w:val="-6"/>
        </w:rPr>
        <w:t> </w:t>
      </w:r>
      <w:r>
        <w:rPr>
          <w:color w:val="231F20"/>
        </w:rPr>
        <w:t>need</w:t>
      </w:r>
      <w:r>
        <w:rPr>
          <w:color w:val="231F20"/>
          <w:spacing w:val="-6"/>
        </w:rPr>
        <w:t> </w:t>
      </w:r>
      <w:r>
        <w:rPr>
          <w:color w:val="231F20"/>
        </w:rPr>
        <w:t>to</w:t>
      </w:r>
      <w:r>
        <w:rPr>
          <w:color w:val="231F20"/>
          <w:spacing w:val="-6"/>
        </w:rPr>
        <w:t> </w:t>
      </w:r>
      <w:r>
        <w:rPr>
          <w:color w:val="231F20"/>
        </w:rPr>
        <w:t>“just</w:t>
      </w:r>
      <w:r>
        <w:rPr>
          <w:color w:val="231F20"/>
          <w:spacing w:val="-6"/>
        </w:rPr>
        <w:t> </w:t>
      </w:r>
      <w:r>
        <w:rPr>
          <w:color w:val="231F20"/>
        </w:rPr>
        <w:t>say</w:t>
      </w:r>
      <w:r>
        <w:rPr>
          <w:color w:val="231F20"/>
          <w:spacing w:val="-6"/>
        </w:rPr>
        <w:t> </w:t>
      </w:r>
      <w:r>
        <w:rPr>
          <w:color w:val="231F20"/>
        </w:rPr>
        <w:t>no,”</w:t>
      </w:r>
      <w:r>
        <w:rPr>
          <w:color w:val="231F20"/>
          <w:spacing w:val="-6"/>
        </w:rPr>
        <w:t> </w:t>
      </w:r>
      <w:r>
        <w:rPr>
          <w:color w:val="231F20"/>
        </w:rPr>
        <w:t>as</w:t>
      </w:r>
      <w:r>
        <w:rPr>
          <w:color w:val="231F20"/>
          <w:spacing w:val="-6"/>
        </w:rPr>
        <w:t> </w:t>
      </w:r>
      <w:r>
        <w:rPr>
          <w:color w:val="231F20"/>
        </w:rPr>
        <w:t>they can be subject to suspicionless </w:t>
      </w:r>
      <w:r>
        <w:rPr>
          <w:color w:val="231F20"/>
          <w:spacing w:val="2"/>
        </w:rPr>
        <w:t>and </w:t>
      </w:r>
      <w:r>
        <w:rPr>
          <w:color w:val="231F20"/>
        </w:rPr>
        <w:t>random drug</w:t>
      </w:r>
      <w:r>
        <w:rPr>
          <w:color w:val="231F20"/>
          <w:spacing w:val="-2"/>
        </w:rPr>
        <w:t> </w:t>
      </w:r>
      <w:r>
        <w:rPr>
          <w:color w:val="231F20"/>
        </w:rPr>
        <w:t>testing.</w:t>
      </w:r>
    </w:p>
    <w:p>
      <w:pPr>
        <w:pStyle w:val="BodyText"/>
        <w:spacing w:before="8"/>
        <w:rPr>
          <w:sz w:val="19"/>
        </w:rPr>
      </w:pPr>
    </w:p>
    <w:p>
      <w:pPr>
        <w:spacing w:line="252" w:lineRule="auto" w:before="0"/>
        <w:ind w:left="1740" w:right="38" w:firstLine="0"/>
        <w:jc w:val="both"/>
        <w:rPr>
          <w:i/>
          <w:sz w:val="20"/>
        </w:rPr>
      </w:pPr>
      <w:r>
        <w:rPr/>
        <w:pict>
          <v:group style="position:absolute;margin-left:222pt;margin-top:1.941077pt;width:72pt;height:96pt;mso-position-horizontal-relative:page;mso-position-vertical-relative:paragraph;z-index:251764736" coordorigin="4440,39" coordsize="1440,1920">
            <v:shape style="position:absolute;left:4450;top:48;width:1420;height:1900" type="#_x0000_t75" stroked="false">
              <v:imagedata r:id="rId69" o:title=""/>
            </v:shape>
            <v:rect style="position:absolute;left:4450;top:48;width:1420;height:1900" filled="false" stroked="true" strokeweight="1pt" strokecolor="#231f20">
              <v:stroke dashstyle="solid"/>
            </v:rect>
            <w10:wrap type="none"/>
          </v:group>
        </w:pict>
      </w:r>
      <w:r>
        <w:rPr>
          <w:b/>
          <w:i/>
          <w:color w:val="231F20"/>
          <w:sz w:val="20"/>
        </w:rPr>
        <w:t>Sacha Dyson </w:t>
      </w:r>
      <w:r>
        <w:rPr>
          <w:i/>
          <w:color w:val="231F20"/>
          <w:sz w:val="20"/>
        </w:rPr>
        <w:t>is a </w:t>
      </w:r>
      <w:r>
        <w:rPr>
          <w:i/>
          <w:color w:val="231F20"/>
          <w:sz w:val="20"/>
        </w:rPr>
        <w:t>partner</w:t>
      </w:r>
      <w:r>
        <w:rPr>
          <w:i/>
          <w:color w:val="231F20"/>
          <w:spacing w:val="-27"/>
          <w:sz w:val="20"/>
        </w:rPr>
        <w:t> </w:t>
      </w:r>
      <w:r>
        <w:rPr>
          <w:i/>
          <w:color w:val="231F20"/>
          <w:sz w:val="20"/>
        </w:rPr>
        <w:t>with</w:t>
      </w:r>
      <w:r>
        <w:rPr>
          <w:i/>
          <w:color w:val="231F20"/>
          <w:spacing w:val="-26"/>
          <w:sz w:val="20"/>
        </w:rPr>
        <w:t> </w:t>
      </w:r>
      <w:r>
        <w:rPr>
          <w:i/>
          <w:color w:val="231F20"/>
          <w:sz w:val="20"/>
        </w:rPr>
        <w:t>Thomp- </w:t>
      </w:r>
      <w:r>
        <w:rPr>
          <w:i/>
          <w:color w:val="231F20"/>
          <w:spacing w:val="20"/>
          <w:sz w:val="20"/>
        </w:rPr>
        <w:t>son, </w:t>
      </w:r>
      <w:r>
        <w:rPr>
          <w:i/>
          <w:color w:val="231F20"/>
          <w:spacing w:val="24"/>
          <w:sz w:val="20"/>
        </w:rPr>
        <w:t>Sizemore, </w:t>
      </w:r>
      <w:r>
        <w:rPr>
          <w:i/>
          <w:color w:val="231F20"/>
          <w:spacing w:val="5"/>
          <w:sz w:val="20"/>
        </w:rPr>
        <w:t>Gonzalez </w:t>
      </w:r>
      <w:r>
        <w:rPr>
          <w:i/>
          <w:color w:val="231F20"/>
          <w:sz w:val="20"/>
        </w:rPr>
        <w:t>&amp; </w:t>
      </w:r>
      <w:r>
        <w:rPr>
          <w:i/>
          <w:color w:val="231F20"/>
          <w:spacing w:val="3"/>
          <w:sz w:val="20"/>
        </w:rPr>
        <w:t>Hear- </w:t>
      </w:r>
      <w:r>
        <w:rPr>
          <w:i/>
          <w:color w:val="231F20"/>
          <w:sz w:val="20"/>
        </w:rPr>
        <w:t>ing, </w:t>
      </w:r>
      <w:r>
        <w:rPr>
          <w:i/>
          <w:color w:val="231F20"/>
          <w:spacing w:val="-7"/>
          <w:sz w:val="20"/>
        </w:rPr>
        <w:t>P.A. </w:t>
      </w:r>
      <w:r>
        <w:rPr>
          <w:i/>
          <w:color w:val="231F20"/>
          <w:sz w:val="20"/>
        </w:rPr>
        <w:t>in</w:t>
      </w:r>
      <w:r>
        <w:rPr>
          <w:i/>
          <w:color w:val="231F20"/>
          <w:spacing w:val="3"/>
          <w:sz w:val="20"/>
        </w:rPr>
        <w:t> </w:t>
      </w:r>
      <w:r>
        <w:rPr>
          <w:i/>
          <w:color w:val="231F20"/>
          <w:spacing w:val="-4"/>
          <w:sz w:val="20"/>
        </w:rPr>
        <w:t>Tampa.</w:t>
      </w:r>
    </w:p>
    <w:p>
      <w:pPr>
        <w:pStyle w:val="BodyText"/>
        <w:rPr>
          <w:i/>
          <w:sz w:val="22"/>
        </w:rPr>
      </w:pPr>
    </w:p>
    <w:p>
      <w:pPr>
        <w:pStyle w:val="BodyText"/>
        <w:rPr>
          <w:i/>
          <w:sz w:val="22"/>
        </w:rPr>
      </w:pPr>
    </w:p>
    <w:p>
      <w:pPr>
        <w:pStyle w:val="BodyText"/>
        <w:spacing w:before="7"/>
        <w:rPr>
          <w:i/>
          <w:sz w:val="23"/>
        </w:rPr>
      </w:pPr>
    </w:p>
    <w:p>
      <w:pPr>
        <w:spacing w:before="0"/>
        <w:ind w:left="457" w:right="0" w:firstLine="0"/>
        <w:jc w:val="left"/>
        <w:rPr>
          <w:sz w:val="16"/>
        </w:rPr>
      </w:pPr>
      <w:r>
        <w:rPr>
          <w:color w:val="231F20"/>
          <w:sz w:val="16"/>
        </w:rPr>
        <w:t>S. DYSON</w:t>
      </w:r>
    </w:p>
    <w:p>
      <w:pPr>
        <w:pStyle w:val="BodyText"/>
        <w:spacing w:before="5"/>
        <w:rPr>
          <w:sz w:val="24"/>
        </w:rPr>
      </w:pPr>
    </w:p>
    <w:p>
      <w:pPr>
        <w:spacing w:before="0"/>
        <w:ind w:left="120" w:right="0" w:firstLine="0"/>
        <w:jc w:val="left"/>
        <w:rPr>
          <w:b/>
          <w:sz w:val="20"/>
        </w:rPr>
      </w:pPr>
      <w:r>
        <w:rPr>
          <w:b/>
          <w:color w:val="231F20"/>
          <w:sz w:val="20"/>
        </w:rPr>
        <w:t>Endnotes</w:t>
      </w:r>
    </w:p>
    <w:p>
      <w:pPr>
        <w:spacing w:before="29"/>
        <w:ind w:left="120" w:right="0" w:firstLine="0"/>
        <w:jc w:val="left"/>
        <w:rPr>
          <w:sz w:val="16"/>
        </w:rPr>
      </w:pPr>
      <w:r>
        <w:rPr>
          <w:color w:val="231F20"/>
          <w:position w:val="5"/>
          <w:sz w:val="9"/>
        </w:rPr>
        <w:t>1 </w:t>
      </w:r>
      <w:r>
        <w:rPr>
          <w:i/>
          <w:color w:val="231F20"/>
          <w:sz w:val="16"/>
        </w:rPr>
        <w:t>See O’Connor v. Ortega</w:t>
      </w:r>
      <w:r>
        <w:rPr>
          <w:color w:val="231F20"/>
          <w:sz w:val="16"/>
        </w:rPr>
        <w:t>, 480 U.S. 709 (1987).</w:t>
      </w:r>
    </w:p>
    <w:p>
      <w:pPr>
        <w:spacing w:before="37"/>
        <w:ind w:left="120" w:right="0" w:firstLine="0"/>
        <w:jc w:val="left"/>
        <w:rPr>
          <w:sz w:val="16"/>
        </w:rPr>
      </w:pPr>
      <w:r>
        <w:rPr>
          <w:color w:val="231F20"/>
          <w:position w:val="5"/>
          <w:sz w:val="9"/>
        </w:rPr>
        <w:t>2 </w:t>
      </w:r>
      <w:r>
        <w:rPr>
          <w:color w:val="231F20"/>
          <w:sz w:val="16"/>
        </w:rPr>
        <w:t>489 U.S. 656 (1989).</w:t>
      </w:r>
    </w:p>
    <w:p>
      <w:pPr>
        <w:spacing w:before="37"/>
        <w:ind w:left="120" w:right="0" w:firstLine="0"/>
        <w:jc w:val="left"/>
        <w:rPr>
          <w:sz w:val="16"/>
        </w:rPr>
      </w:pPr>
      <w:r>
        <w:rPr>
          <w:color w:val="231F20"/>
          <w:position w:val="5"/>
          <w:sz w:val="9"/>
        </w:rPr>
        <w:t>3 </w:t>
      </w:r>
      <w:r>
        <w:rPr>
          <w:i/>
          <w:color w:val="231F20"/>
          <w:sz w:val="16"/>
        </w:rPr>
        <w:t>Id. </w:t>
      </w:r>
      <w:r>
        <w:rPr>
          <w:color w:val="231F20"/>
          <w:sz w:val="16"/>
        </w:rPr>
        <w:t>at 686 (Scalia, J.,dissenting).</w:t>
      </w:r>
    </w:p>
    <w:p>
      <w:pPr>
        <w:spacing w:before="37"/>
        <w:ind w:left="120" w:right="0" w:firstLine="0"/>
        <w:jc w:val="left"/>
        <w:rPr>
          <w:sz w:val="16"/>
        </w:rPr>
      </w:pPr>
      <w:r>
        <w:rPr>
          <w:color w:val="231F20"/>
          <w:position w:val="5"/>
          <w:sz w:val="9"/>
        </w:rPr>
        <w:t>4 </w:t>
      </w:r>
      <w:r>
        <w:rPr>
          <w:i/>
          <w:color w:val="231F20"/>
          <w:sz w:val="16"/>
        </w:rPr>
        <w:t>Chandler v. Miller</w:t>
      </w:r>
      <w:r>
        <w:rPr>
          <w:color w:val="231F20"/>
          <w:sz w:val="16"/>
        </w:rPr>
        <w:t>, 520 U.S. 305 (1997).</w:t>
      </w:r>
    </w:p>
    <w:p>
      <w:pPr>
        <w:spacing w:before="37"/>
        <w:ind w:left="120" w:right="0" w:firstLine="0"/>
        <w:jc w:val="left"/>
        <w:rPr>
          <w:sz w:val="16"/>
        </w:rPr>
      </w:pPr>
      <w:r>
        <w:rPr>
          <w:color w:val="231F20"/>
          <w:position w:val="5"/>
          <w:sz w:val="9"/>
        </w:rPr>
        <w:t>5        </w:t>
      </w:r>
      <w:r>
        <w:rPr>
          <w:i/>
          <w:color w:val="231F20"/>
          <w:sz w:val="16"/>
        </w:rPr>
        <w:t>Id. </w:t>
      </w:r>
      <w:r>
        <w:rPr>
          <w:color w:val="231F20"/>
          <w:sz w:val="16"/>
        </w:rPr>
        <w:t>at</w:t>
      </w:r>
      <w:r>
        <w:rPr>
          <w:color w:val="231F20"/>
          <w:spacing w:val="-17"/>
          <w:sz w:val="16"/>
        </w:rPr>
        <w:t> </w:t>
      </w:r>
      <w:r>
        <w:rPr>
          <w:color w:val="231F20"/>
          <w:sz w:val="16"/>
        </w:rPr>
        <w:t>318.</w:t>
      </w:r>
    </w:p>
    <w:p>
      <w:pPr>
        <w:spacing w:before="37"/>
        <w:ind w:left="120" w:right="0" w:firstLine="0"/>
        <w:jc w:val="left"/>
        <w:rPr>
          <w:sz w:val="16"/>
        </w:rPr>
      </w:pPr>
      <w:r>
        <w:rPr>
          <w:color w:val="231F20"/>
          <w:position w:val="5"/>
          <w:sz w:val="9"/>
        </w:rPr>
        <w:t>6        </w:t>
      </w:r>
      <w:r>
        <w:rPr>
          <w:i/>
          <w:color w:val="231F20"/>
          <w:sz w:val="16"/>
        </w:rPr>
        <w:t>Id. </w:t>
      </w:r>
      <w:r>
        <w:rPr>
          <w:color w:val="231F20"/>
          <w:sz w:val="16"/>
        </w:rPr>
        <w:t>at</w:t>
      </w:r>
      <w:r>
        <w:rPr>
          <w:color w:val="231F20"/>
          <w:spacing w:val="-17"/>
          <w:sz w:val="16"/>
        </w:rPr>
        <w:t> </w:t>
      </w:r>
      <w:r>
        <w:rPr>
          <w:color w:val="231F20"/>
          <w:sz w:val="16"/>
        </w:rPr>
        <w:t>323.</w:t>
      </w:r>
    </w:p>
    <w:p>
      <w:pPr>
        <w:spacing w:line="235" w:lineRule="auto" w:before="40"/>
        <w:ind w:left="120" w:right="62" w:hanging="1"/>
        <w:jc w:val="both"/>
        <w:rPr>
          <w:sz w:val="16"/>
        </w:rPr>
      </w:pPr>
      <w:r>
        <w:rPr>
          <w:color w:val="231F20"/>
          <w:position w:val="5"/>
          <w:sz w:val="9"/>
        </w:rPr>
        <w:t>7 </w:t>
      </w:r>
      <w:r>
        <w:rPr>
          <w:i/>
          <w:color w:val="231F20"/>
          <w:sz w:val="16"/>
        </w:rPr>
        <w:t>Am. Fed’n of State, Cnty., and Mun. Emps. </w:t>
      </w:r>
      <w:r>
        <w:rPr>
          <w:i/>
          <w:color w:val="231F20"/>
          <w:sz w:val="16"/>
        </w:rPr>
        <w:t>(AFSCME) Council 79 v. Scott</w:t>
      </w:r>
      <w:r>
        <w:rPr>
          <w:color w:val="231F20"/>
          <w:sz w:val="16"/>
        </w:rPr>
        <w:t>, 717 F.3d 851, 857-58 (11th Cir. 2013).</w:t>
      </w:r>
    </w:p>
    <w:p>
      <w:pPr>
        <w:spacing w:before="40"/>
        <w:ind w:left="120" w:right="0" w:firstLine="0"/>
        <w:jc w:val="left"/>
        <w:rPr>
          <w:sz w:val="16"/>
        </w:rPr>
      </w:pPr>
      <w:r>
        <w:rPr>
          <w:color w:val="231F20"/>
          <w:position w:val="5"/>
          <w:sz w:val="9"/>
        </w:rPr>
        <w:t>8 </w:t>
      </w:r>
      <w:r>
        <w:rPr>
          <w:i/>
          <w:color w:val="231F20"/>
          <w:sz w:val="16"/>
        </w:rPr>
        <w:t>Id. </w:t>
      </w:r>
      <w:r>
        <w:rPr>
          <w:color w:val="231F20"/>
          <w:sz w:val="16"/>
        </w:rPr>
        <w:t>at 858, 867-69.</w:t>
      </w:r>
    </w:p>
    <w:p>
      <w:pPr>
        <w:spacing w:before="37"/>
        <w:ind w:left="120" w:right="0" w:firstLine="0"/>
        <w:jc w:val="left"/>
        <w:rPr>
          <w:sz w:val="16"/>
        </w:rPr>
      </w:pPr>
      <w:r>
        <w:rPr>
          <w:color w:val="231F20"/>
          <w:position w:val="5"/>
          <w:sz w:val="9"/>
        </w:rPr>
        <w:t>9        </w:t>
      </w:r>
      <w:r>
        <w:rPr>
          <w:i/>
          <w:color w:val="231F20"/>
          <w:sz w:val="16"/>
        </w:rPr>
        <w:t>Id. </w:t>
      </w:r>
      <w:r>
        <w:rPr>
          <w:color w:val="231F20"/>
          <w:sz w:val="16"/>
        </w:rPr>
        <w:t>at</w:t>
      </w:r>
      <w:r>
        <w:rPr>
          <w:color w:val="231F20"/>
          <w:spacing w:val="-17"/>
          <w:sz w:val="16"/>
        </w:rPr>
        <w:t> </w:t>
      </w:r>
      <w:r>
        <w:rPr>
          <w:color w:val="231F20"/>
          <w:sz w:val="16"/>
        </w:rPr>
        <w:t>872.</w:t>
      </w:r>
    </w:p>
    <w:p>
      <w:pPr>
        <w:spacing w:before="27"/>
        <w:ind w:left="120" w:right="0" w:firstLine="0"/>
        <w:jc w:val="left"/>
        <w:rPr>
          <w:sz w:val="16"/>
        </w:rPr>
      </w:pPr>
      <w:r>
        <w:rPr>
          <w:color w:val="231F20"/>
          <w:position w:val="5"/>
          <w:sz w:val="9"/>
        </w:rPr>
        <w:t>10      </w:t>
      </w:r>
      <w:r>
        <w:rPr>
          <w:i/>
          <w:color w:val="231F20"/>
          <w:sz w:val="16"/>
        </w:rPr>
        <w:t>Id. </w:t>
      </w:r>
      <w:r>
        <w:rPr>
          <w:color w:val="231F20"/>
          <w:sz w:val="16"/>
        </w:rPr>
        <w:t>at</w:t>
      </w:r>
      <w:r>
        <w:rPr>
          <w:color w:val="231F20"/>
          <w:spacing w:val="-18"/>
          <w:sz w:val="16"/>
        </w:rPr>
        <w:t> </w:t>
      </w:r>
      <w:r>
        <w:rPr>
          <w:color w:val="231F20"/>
          <w:sz w:val="16"/>
        </w:rPr>
        <w:t>867.</w:t>
      </w:r>
    </w:p>
    <w:p>
      <w:pPr>
        <w:spacing w:before="27"/>
        <w:ind w:left="120" w:right="0" w:firstLine="0"/>
        <w:jc w:val="left"/>
        <w:rPr>
          <w:sz w:val="16"/>
        </w:rPr>
      </w:pPr>
      <w:r>
        <w:rPr>
          <w:color w:val="231F20"/>
          <w:position w:val="5"/>
          <w:sz w:val="9"/>
        </w:rPr>
        <w:t>11 </w:t>
      </w:r>
      <w:r>
        <w:rPr>
          <w:color w:val="231F20"/>
          <w:sz w:val="16"/>
        </w:rPr>
        <w:t>911 F.3d 1084 (11th Cir. 2018).</w:t>
      </w:r>
    </w:p>
    <w:p>
      <w:pPr>
        <w:spacing w:before="27"/>
        <w:ind w:left="120" w:right="0" w:firstLine="0"/>
        <w:jc w:val="left"/>
        <w:rPr>
          <w:sz w:val="16"/>
        </w:rPr>
      </w:pPr>
      <w:r>
        <w:rPr>
          <w:color w:val="231F20"/>
          <w:position w:val="5"/>
          <w:sz w:val="9"/>
        </w:rPr>
        <w:t>12 </w:t>
      </w:r>
      <w:r>
        <w:rPr>
          <w:i/>
          <w:color w:val="231F20"/>
          <w:sz w:val="16"/>
        </w:rPr>
        <w:t>Id. </w:t>
      </w:r>
      <w:r>
        <w:rPr>
          <w:color w:val="231F20"/>
          <w:sz w:val="16"/>
        </w:rPr>
        <w:t>at 1087.</w:t>
      </w:r>
    </w:p>
    <w:p>
      <w:pPr>
        <w:spacing w:line="235" w:lineRule="auto" w:before="30"/>
        <w:ind w:left="120" w:right="63" w:firstLine="0"/>
        <w:jc w:val="both"/>
        <w:rPr>
          <w:sz w:val="16"/>
        </w:rPr>
      </w:pPr>
      <w:r>
        <w:rPr>
          <w:color w:val="231F20"/>
          <w:position w:val="5"/>
          <w:sz w:val="9"/>
        </w:rPr>
        <w:t>13</w:t>
      </w:r>
      <w:r>
        <w:rPr>
          <w:color w:val="231F20"/>
          <w:spacing w:val="22"/>
          <w:position w:val="5"/>
          <w:sz w:val="9"/>
        </w:rPr>
        <w:t> </w:t>
      </w:r>
      <w:r>
        <w:rPr>
          <w:color w:val="231F20"/>
          <w:sz w:val="16"/>
        </w:rPr>
        <w:t>The</w:t>
      </w:r>
      <w:r>
        <w:rPr>
          <w:color w:val="231F20"/>
          <w:spacing w:val="-14"/>
          <w:sz w:val="16"/>
        </w:rPr>
        <w:t> </w:t>
      </w:r>
      <w:r>
        <w:rPr>
          <w:color w:val="231F20"/>
          <w:sz w:val="16"/>
        </w:rPr>
        <w:t>school</w:t>
      </w:r>
      <w:r>
        <w:rPr>
          <w:color w:val="231F20"/>
          <w:spacing w:val="-15"/>
          <w:sz w:val="16"/>
        </w:rPr>
        <w:t> </w:t>
      </w:r>
      <w:r>
        <w:rPr>
          <w:color w:val="231F20"/>
          <w:sz w:val="16"/>
        </w:rPr>
        <w:t>district</w:t>
      </w:r>
      <w:r>
        <w:rPr>
          <w:color w:val="231F20"/>
          <w:spacing w:val="-15"/>
          <w:sz w:val="16"/>
        </w:rPr>
        <w:t> </w:t>
      </w:r>
      <w:r>
        <w:rPr>
          <w:color w:val="231F20"/>
          <w:sz w:val="16"/>
        </w:rPr>
        <w:t>had</w:t>
      </w:r>
      <w:r>
        <w:rPr>
          <w:color w:val="231F20"/>
          <w:spacing w:val="-16"/>
          <w:sz w:val="16"/>
        </w:rPr>
        <w:t> </w:t>
      </w:r>
      <w:r>
        <w:rPr>
          <w:color w:val="231F20"/>
          <w:sz w:val="16"/>
        </w:rPr>
        <w:t>a</w:t>
      </w:r>
      <w:r>
        <w:rPr>
          <w:color w:val="231F20"/>
          <w:spacing w:val="-15"/>
          <w:sz w:val="16"/>
        </w:rPr>
        <w:t> </w:t>
      </w:r>
      <w:r>
        <w:rPr>
          <w:color w:val="231F20"/>
          <w:sz w:val="16"/>
        </w:rPr>
        <w:t>policy</w:t>
      </w:r>
      <w:r>
        <w:rPr>
          <w:color w:val="231F20"/>
          <w:spacing w:val="-15"/>
          <w:sz w:val="16"/>
        </w:rPr>
        <w:t> </w:t>
      </w:r>
      <w:r>
        <w:rPr>
          <w:color w:val="231F20"/>
          <w:sz w:val="16"/>
        </w:rPr>
        <w:t>requiring</w:t>
      </w:r>
      <w:r>
        <w:rPr>
          <w:color w:val="231F20"/>
          <w:spacing w:val="-15"/>
          <w:sz w:val="16"/>
        </w:rPr>
        <w:t> </w:t>
      </w:r>
      <w:r>
        <w:rPr>
          <w:color w:val="231F20"/>
          <w:sz w:val="16"/>
        </w:rPr>
        <w:t>drug testing</w:t>
      </w:r>
      <w:r>
        <w:rPr>
          <w:color w:val="231F20"/>
          <w:spacing w:val="-13"/>
          <w:sz w:val="16"/>
        </w:rPr>
        <w:t> </w:t>
      </w:r>
      <w:r>
        <w:rPr>
          <w:color w:val="231F20"/>
          <w:sz w:val="16"/>
        </w:rPr>
        <w:t>of</w:t>
      </w:r>
      <w:r>
        <w:rPr>
          <w:color w:val="231F20"/>
          <w:spacing w:val="-12"/>
          <w:sz w:val="16"/>
        </w:rPr>
        <w:t> </w:t>
      </w:r>
      <w:r>
        <w:rPr>
          <w:color w:val="231F20"/>
          <w:sz w:val="16"/>
        </w:rPr>
        <w:t>all</w:t>
      </w:r>
      <w:r>
        <w:rPr>
          <w:color w:val="231F20"/>
          <w:spacing w:val="-12"/>
          <w:sz w:val="16"/>
        </w:rPr>
        <w:t> </w:t>
      </w:r>
      <w:r>
        <w:rPr>
          <w:color w:val="231F20"/>
          <w:sz w:val="16"/>
        </w:rPr>
        <w:t>applicants,</w:t>
      </w:r>
      <w:r>
        <w:rPr>
          <w:color w:val="231F20"/>
          <w:spacing w:val="-12"/>
          <w:sz w:val="16"/>
        </w:rPr>
        <w:t> </w:t>
      </w:r>
      <w:r>
        <w:rPr>
          <w:color w:val="231F20"/>
          <w:sz w:val="16"/>
        </w:rPr>
        <w:t>regardless</w:t>
      </w:r>
      <w:r>
        <w:rPr>
          <w:color w:val="231F20"/>
          <w:spacing w:val="-11"/>
          <w:sz w:val="16"/>
        </w:rPr>
        <w:t> </w:t>
      </w:r>
      <w:r>
        <w:rPr>
          <w:color w:val="231F20"/>
          <w:sz w:val="16"/>
        </w:rPr>
        <w:t>of</w:t>
      </w:r>
      <w:r>
        <w:rPr>
          <w:color w:val="231F20"/>
          <w:spacing w:val="-12"/>
          <w:sz w:val="16"/>
        </w:rPr>
        <w:t> </w:t>
      </w:r>
      <w:r>
        <w:rPr>
          <w:color w:val="231F20"/>
          <w:sz w:val="16"/>
        </w:rPr>
        <w:t>the</w:t>
      </w:r>
      <w:r>
        <w:rPr>
          <w:color w:val="231F20"/>
          <w:spacing w:val="-12"/>
          <w:sz w:val="16"/>
        </w:rPr>
        <w:t> </w:t>
      </w:r>
      <w:r>
        <w:rPr>
          <w:color w:val="231F20"/>
          <w:sz w:val="16"/>
        </w:rPr>
        <w:t>job</w:t>
      </w:r>
      <w:r>
        <w:rPr>
          <w:color w:val="231F20"/>
          <w:spacing w:val="-12"/>
          <w:sz w:val="16"/>
        </w:rPr>
        <w:t> </w:t>
      </w:r>
      <w:r>
        <w:rPr>
          <w:color w:val="231F20"/>
          <w:sz w:val="16"/>
        </w:rPr>
        <w:t>po- sition.</w:t>
      </w:r>
      <w:r>
        <w:rPr>
          <w:color w:val="231F20"/>
          <w:spacing w:val="-23"/>
          <w:sz w:val="16"/>
        </w:rPr>
        <w:t> </w:t>
      </w:r>
      <w:r>
        <w:rPr>
          <w:color w:val="231F20"/>
          <w:sz w:val="16"/>
        </w:rPr>
        <w:t>The</w:t>
      </w:r>
      <w:r>
        <w:rPr>
          <w:color w:val="231F20"/>
          <w:spacing w:val="-20"/>
          <w:sz w:val="16"/>
        </w:rPr>
        <w:t> </w:t>
      </w:r>
      <w:r>
        <w:rPr>
          <w:color w:val="231F20"/>
          <w:sz w:val="16"/>
        </w:rPr>
        <w:t>plaintiff</w:t>
      </w:r>
      <w:r>
        <w:rPr>
          <w:color w:val="231F20"/>
          <w:spacing w:val="-20"/>
          <w:sz w:val="16"/>
        </w:rPr>
        <w:t> </w:t>
      </w:r>
      <w:r>
        <w:rPr>
          <w:color w:val="231F20"/>
          <w:sz w:val="16"/>
        </w:rPr>
        <w:t>initially</w:t>
      </w:r>
      <w:r>
        <w:rPr>
          <w:color w:val="231F20"/>
          <w:spacing w:val="-20"/>
          <w:sz w:val="16"/>
        </w:rPr>
        <w:t> </w:t>
      </w:r>
      <w:r>
        <w:rPr>
          <w:color w:val="231F20"/>
          <w:sz w:val="16"/>
        </w:rPr>
        <w:t>attempted</w:t>
      </w:r>
      <w:r>
        <w:rPr>
          <w:color w:val="231F20"/>
          <w:spacing w:val="-21"/>
          <w:sz w:val="16"/>
        </w:rPr>
        <w:t> </w:t>
      </w:r>
      <w:r>
        <w:rPr>
          <w:color w:val="231F20"/>
          <w:sz w:val="16"/>
        </w:rPr>
        <w:t>to</w:t>
      </w:r>
      <w:r>
        <w:rPr>
          <w:color w:val="231F20"/>
          <w:spacing w:val="-20"/>
          <w:sz w:val="16"/>
        </w:rPr>
        <w:t> </w:t>
      </w:r>
      <w:r>
        <w:rPr>
          <w:color w:val="231F20"/>
          <w:sz w:val="16"/>
        </w:rPr>
        <w:t>challenge this</w:t>
      </w:r>
      <w:r>
        <w:rPr>
          <w:color w:val="231F20"/>
          <w:spacing w:val="31"/>
          <w:sz w:val="16"/>
        </w:rPr>
        <w:t> </w:t>
      </w:r>
      <w:r>
        <w:rPr>
          <w:color w:val="231F20"/>
          <w:sz w:val="16"/>
        </w:rPr>
        <w:t>policy</w:t>
      </w:r>
      <w:r>
        <w:rPr>
          <w:color w:val="231F20"/>
          <w:spacing w:val="31"/>
          <w:sz w:val="16"/>
        </w:rPr>
        <w:t> </w:t>
      </w:r>
      <w:r>
        <w:rPr>
          <w:color w:val="231F20"/>
          <w:sz w:val="16"/>
        </w:rPr>
        <w:t>as</w:t>
      </w:r>
      <w:r>
        <w:rPr>
          <w:color w:val="231F20"/>
          <w:spacing w:val="32"/>
          <w:sz w:val="16"/>
        </w:rPr>
        <w:t> </w:t>
      </w:r>
      <w:r>
        <w:rPr>
          <w:color w:val="231F20"/>
          <w:sz w:val="16"/>
        </w:rPr>
        <w:t>unconstitutional,</w:t>
      </w:r>
      <w:r>
        <w:rPr>
          <w:color w:val="231F20"/>
          <w:spacing w:val="31"/>
          <w:sz w:val="16"/>
        </w:rPr>
        <w:t> </w:t>
      </w:r>
      <w:r>
        <w:rPr>
          <w:color w:val="231F20"/>
          <w:sz w:val="16"/>
        </w:rPr>
        <w:t>but</w:t>
      </w:r>
      <w:r>
        <w:rPr>
          <w:color w:val="231F20"/>
          <w:spacing w:val="32"/>
          <w:sz w:val="16"/>
        </w:rPr>
        <w:t> </w:t>
      </w:r>
      <w:r>
        <w:rPr>
          <w:color w:val="231F20"/>
          <w:sz w:val="16"/>
        </w:rPr>
        <w:t>the</w:t>
      </w:r>
      <w:r>
        <w:rPr>
          <w:color w:val="231F20"/>
          <w:spacing w:val="31"/>
          <w:sz w:val="16"/>
        </w:rPr>
        <w:t> </w:t>
      </w:r>
      <w:r>
        <w:rPr>
          <w:color w:val="231F20"/>
          <w:sz w:val="16"/>
        </w:rPr>
        <w:t>district</w:t>
      </w:r>
    </w:p>
    <w:p>
      <w:pPr>
        <w:spacing w:line="264" w:lineRule="auto" w:before="86"/>
        <w:ind w:left="120" w:right="296" w:firstLine="0"/>
        <w:jc w:val="both"/>
        <w:rPr>
          <w:sz w:val="16"/>
        </w:rPr>
      </w:pPr>
      <w:r>
        <w:rPr/>
        <w:br w:type="column"/>
      </w:r>
      <w:r>
        <w:rPr>
          <w:color w:val="231F20"/>
          <w:sz w:val="16"/>
        </w:rPr>
        <w:t>court</w:t>
      </w:r>
      <w:r>
        <w:rPr>
          <w:color w:val="231F20"/>
          <w:spacing w:val="-7"/>
          <w:sz w:val="16"/>
        </w:rPr>
        <w:t> </w:t>
      </w:r>
      <w:r>
        <w:rPr>
          <w:color w:val="231F20"/>
          <w:sz w:val="16"/>
        </w:rPr>
        <w:t>concluded</w:t>
      </w:r>
      <w:r>
        <w:rPr>
          <w:color w:val="231F20"/>
          <w:spacing w:val="-8"/>
          <w:sz w:val="16"/>
        </w:rPr>
        <w:t> </w:t>
      </w:r>
      <w:r>
        <w:rPr>
          <w:i/>
          <w:color w:val="231F20"/>
          <w:sz w:val="16"/>
        </w:rPr>
        <w:t>sua</w:t>
      </w:r>
      <w:r>
        <w:rPr>
          <w:i/>
          <w:color w:val="231F20"/>
          <w:spacing w:val="-7"/>
          <w:sz w:val="16"/>
        </w:rPr>
        <w:t> </w:t>
      </w:r>
      <w:r>
        <w:rPr>
          <w:i/>
          <w:color w:val="231F20"/>
          <w:sz w:val="16"/>
        </w:rPr>
        <w:t>sponte</w:t>
      </w:r>
      <w:r>
        <w:rPr>
          <w:i/>
          <w:color w:val="231F20"/>
          <w:spacing w:val="-7"/>
          <w:sz w:val="16"/>
        </w:rPr>
        <w:t> </w:t>
      </w:r>
      <w:r>
        <w:rPr>
          <w:color w:val="231F20"/>
          <w:sz w:val="16"/>
        </w:rPr>
        <w:t>that</w:t>
      </w:r>
      <w:r>
        <w:rPr>
          <w:color w:val="231F20"/>
          <w:spacing w:val="-6"/>
          <w:sz w:val="16"/>
        </w:rPr>
        <w:t> </w:t>
      </w:r>
      <w:r>
        <w:rPr>
          <w:color w:val="231F20"/>
          <w:sz w:val="16"/>
        </w:rPr>
        <w:t>the</w:t>
      </w:r>
      <w:r>
        <w:rPr>
          <w:color w:val="231F20"/>
          <w:spacing w:val="-7"/>
          <w:sz w:val="16"/>
        </w:rPr>
        <w:t> </w:t>
      </w:r>
      <w:r>
        <w:rPr>
          <w:color w:val="231F20"/>
          <w:sz w:val="16"/>
        </w:rPr>
        <w:t>plaintiff</w:t>
      </w:r>
      <w:r>
        <w:rPr>
          <w:color w:val="231F20"/>
          <w:spacing w:val="-7"/>
          <w:sz w:val="16"/>
        </w:rPr>
        <w:t> </w:t>
      </w:r>
      <w:r>
        <w:rPr>
          <w:color w:val="231F20"/>
          <w:sz w:val="16"/>
        </w:rPr>
        <w:t>had standing to contest only the application of the policy to substitute teachers as it was the only position she was offered. </w:t>
      </w:r>
      <w:r>
        <w:rPr>
          <w:i/>
          <w:color w:val="231F20"/>
          <w:sz w:val="16"/>
        </w:rPr>
        <w:t>Id. </w:t>
      </w:r>
      <w:r>
        <w:rPr>
          <w:color w:val="231F20"/>
          <w:sz w:val="16"/>
        </w:rPr>
        <w:t>at 1090; </w:t>
      </w:r>
      <w:r>
        <w:rPr>
          <w:i/>
          <w:color w:val="231F20"/>
          <w:sz w:val="16"/>
        </w:rPr>
        <w:t>see also </w:t>
      </w:r>
      <w:r>
        <w:rPr>
          <w:i/>
          <w:color w:val="231F20"/>
          <w:sz w:val="16"/>
        </w:rPr>
        <w:t>Friedenberg</w:t>
      </w:r>
      <w:r>
        <w:rPr>
          <w:i/>
          <w:color w:val="231F20"/>
          <w:spacing w:val="-19"/>
          <w:sz w:val="16"/>
        </w:rPr>
        <w:t> </w:t>
      </w:r>
      <w:r>
        <w:rPr>
          <w:i/>
          <w:color w:val="231F20"/>
          <w:spacing w:val="-7"/>
          <w:sz w:val="16"/>
        </w:rPr>
        <w:t>v.</w:t>
      </w:r>
      <w:r>
        <w:rPr>
          <w:i/>
          <w:color w:val="231F20"/>
          <w:spacing w:val="-19"/>
          <w:sz w:val="16"/>
        </w:rPr>
        <w:t> </w:t>
      </w:r>
      <w:r>
        <w:rPr>
          <w:i/>
          <w:color w:val="231F20"/>
          <w:sz w:val="16"/>
        </w:rPr>
        <w:t>Sch.</w:t>
      </w:r>
      <w:r>
        <w:rPr>
          <w:i/>
          <w:color w:val="231F20"/>
          <w:spacing w:val="-19"/>
          <w:sz w:val="16"/>
        </w:rPr>
        <w:t> </w:t>
      </w:r>
      <w:r>
        <w:rPr>
          <w:i/>
          <w:color w:val="231F20"/>
          <w:sz w:val="16"/>
        </w:rPr>
        <w:t>Bd.</w:t>
      </w:r>
      <w:r>
        <w:rPr>
          <w:i/>
          <w:color w:val="231F20"/>
          <w:spacing w:val="-19"/>
          <w:sz w:val="16"/>
        </w:rPr>
        <w:t> </w:t>
      </w:r>
      <w:r>
        <w:rPr>
          <w:i/>
          <w:color w:val="231F20"/>
          <w:sz w:val="16"/>
        </w:rPr>
        <w:t>of</w:t>
      </w:r>
      <w:r>
        <w:rPr>
          <w:i/>
          <w:color w:val="231F20"/>
          <w:spacing w:val="-20"/>
          <w:sz w:val="16"/>
        </w:rPr>
        <w:t> </w:t>
      </w:r>
      <w:r>
        <w:rPr>
          <w:i/>
          <w:color w:val="231F20"/>
          <w:sz w:val="16"/>
        </w:rPr>
        <w:t>Palm</w:t>
      </w:r>
      <w:r>
        <w:rPr>
          <w:i/>
          <w:color w:val="231F20"/>
          <w:spacing w:val="-19"/>
          <w:sz w:val="16"/>
        </w:rPr>
        <w:t> </w:t>
      </w:r>
      <w:r>
        <w:rPr>
          <w:i/>
          <w:color w:val="231F20"/>
          <w:sz w:val="16"/>
        </w:rPr>
        <w:t>Beach</w:t>
      </w:r>
      <w:r>
        <w:rPr>
          <w:i/>
          <w:color w:val="231F20"/>
          <w:spacing w:val="-19"/>
          <w:sz w:val="16"/>
        </w:rPr>
        <w:t> </w:t>
      </w:r>
      <w:r>
        <w:rPr>
          <w:i/>
          <w:color w:val="231F20"/>
          <w:spacing w:val="-4"/>
          <w:sz w:val="16"/>
        </w:rPr>
        <w:t>Cnty.</w:t>
      </w:r>
      <w:r>
        <w:rPr>
          <w:color w:val="231F20"/>
          <w:spacing w:val="-4"/>
          <w:sz w:val="16"/>
        </w:rPr>
        <w:t>,</w:t>
      </w:r>
      <w:r>
        <w:rPr>
          <w:color w:val="231F20"/>
          <w:spacing w:val="-19"/>
          <w:sz w:val="16"/>
        </w:rPr>
        <w:t> </w:t>
      </w:r>
      <w:r>
        <w:rPr>
          <w:color w:val="231F20"/>
          <w:spacing w:val="-2"/>
          <w:sz w:val="16"/>
        </w:rPr>
        <w:t>257 </w:t>
      </w:r>
      <w:r>
        <w:rPr>
          <w:color w:val="231F20"/>
          <w:spacing w:val="-9"/>
          <w:sz w:val="16"/>
        </w:rPr>
        <w:t>F. </w:t>
      </w:r>
      <w:r>
        <w:rPr>
          <w:color w:val="231F20"/>
          <w:sz w:val="16"/>
        </w:rPr>
        <w:t>Supp. 3d 1295, 1305 (S.D. Fla. 2017),</w:t>
      </w:r>
      <w:r>
        <w:rPr>
          <w:color w:val="231F20"/>
          <w:spacing w:val="5"/>
          <w:sz w:val="16"/>
        </w:rPr>
        <w:t> </w:t>
      </w:r>
      <w:r>
        <w:rPr>
          <w:i/>
          <w:color w:val="231F20"/>
          <w:sz w:val="16"/>
        </w:rPr>
        <w:t>aff’d</w:t>
      </w:r>
      <w:r>
        <w:rPr>
          <w:color w:val="231F20"/>
          <w:sz w:val="16"/>
        </w:rPr>
        <w:t>,</w:t>
      </w:r>
    </w:p>
    <w:p>
      <w:pPr>
        <w:spacing w:line="179" w:lineRule="exact" w:before="0"/>
        <w:ind w:left="120" w:right="0" w:firstLine="0"/>
        <w:jc w:val="both"/>
        <w:rPr>
          <w:sz w:val="16"/>
        </w:rPr>
      </w:pPr>
      <w:r>
        <w:rPr>
          <w:color w:val="231F20"/>
          <w:sz w:val="16"/>
        </w:rPr>
        <w:t>911 F.3d 1084 (11th Cir. 2018).</w:t>
      </w:r>
    </w:p>
    <w:p>
      <w:pPr>
        <w:spacing w:before="57"/>
        <w:ind w:left="120" w:right="0" w:firstLine="0"/>
        <w:jc w:val="both"/>
        <w:rPr>
          <w:sz w:val="16"/>
        </w:rPr>
      </w:pPr>
      <w:r>
        <w:rPr>
          <w:color w:val="231F20"/>
          <w:position w:val="5"/>
          <w:sz w:val="9"/>
        </w:rPr>
        <w:t>14 </w:t>
      </w:r>
      <w:r>
        <w:rPr>
          <w:i/>
          <w:color w:val="231F20"/>
          <w:sz w:val="16"/>
        </w:rPr>
        <w:t>Friedenberg</w:t>
      </w:r>
      <w:r>
        <w:rPr>
          <w:color w:val="231F20"/>
          <w:sz w:val="16"/>
        </w:rPr>
        <w:t>, 911 F.3d at 1087.</w:t>
      </w:r>
    </w:p>
    <w:p>
      <w:pPr>
        <w:spacing w:before="58"/>
        <w:ind w:left="120" w:right="0" w:firstLine="0"/>
        <w:jc w:val="both"/>
        <w:rPr>
          <w:sz w:val="16"/>
        </w:rPr>
      </w:pPr>
      <w:r>
        <w:rPr>
          <w:color w:val="231F20"/>
          <w:position w:val="5"/>
          <w:sz w:val="9"/>
        </w:rPr>
        <w:t>15 </w:t>
      </w:r>
      <w:r>
        <w:rPr>
          <w:i/>
          <w:color w:val="231F20"/>
          <w:sz w:val="16"/>
        </w:rPr>
        <w:t>Id. </w:t>
      </w:r>
      <w:r>
        <w:rPr>
          <w:color w:val="231F20"/>
          <w:sz w:val="16"/>
        </w:rPr>
        <w:t>at 1101.</w:t>
      </w:r>
    </w:p>
    <w:p>
      <w:pPr>
        <w:spacing w:line="264" w:lineRule="auto" w:before="57"/>
        <w:ind w:left="120" w:right="349" w:firstLine="0"/>
        <w:jc w:val="left"/>
        <w:rPr>
          <w:i/>
          <w:sz w:val="16"/>
        </w:rPr>
      </w:pPr>
      <w:r>
        <w:rPr>
          <w:color w:val="231F20"/>
          <w:position w:val="5"/>
          <w:sz w:val="9"/>
        </w:rPr>
        <w:t>16 </w:t>
      </w:r>
      <w:r>
        <w:rPr>
          <w:color w:val="231F20"/>
          <w:sz w:val="16"/>
        </w:rPr>
        <w:t>“[T]he government possesses far-reaching power in the unique setting of a school.” </w:t>
      </w:r>
      <w:r>
        <w:rPr>
          <w:i/>
          <w:color w:val="231F20"/>
          <w:sz w:val="16"/>
        </w:rPr>
        <w:t>Id.</w:t>
      </w:r>
    </w:p>
    <w:p>
      <w:pPr>
        <w:spacing w:line="264" w:lineRule="auto" w:before="39"/>
        <w:ind w:left="120" w:right="0" w:firstLine="0"/>
        <w:jc w:val="left"/>
        <w:rPr>
          <w:sz w:val="16"/>
        </w:rPr>
      </w:pPr>
      <w:r>
        <w:rPr>
          <w:color w:val="231F20"/>
          <w:position w:val="5"/>
          <w:sz w:val="9"/>
        </w:rPr>
        <w:t>17 </w:t>
      </w:r>
      <w:r>
        <w:rPr>
          <w:i/>
          <w:color w:val="231F20"/>
          <w:sz w:val="16"/>
        </w:rPr>
        <w:t>Id. </w:t>
      </w:r>
      <w:r>
        <w:rPr>
          <w:color w:val="231F20"/>
          <w:sz w:val="16"/>
        </w:rPr>
        <w:t>at 1096 (quoting </w:t>
      </w:r>
      <w:r>
        <w:rPr>
          <w:i/>
          <w:color w:val="231F20"/>
          <w:sz w:val="16"/>
        </w:rPr>
        <w:t>Skinner v. Railway Labor </w:t>
      </w:r>
      <w:r>
        <w:rPr>
          <w:i/>
          <w:color w:val="231F20"/>
          <w:sz w:val="16"/>
        </w:rPr>
        <w:t>Executives Ass’n</w:t>
      </w:r>
      <w:r>
        <w:rPr>
          <w:color w:val="231F20"/>
          <w:sz w:val="16"/>
        </w:rPr>
        <w:t>, 489 U.S. 602 (1989)).</w:t>
      </w:r>
    </w:p>
    <w:p>
      <w:pPr>
        <w:spacing w:line="264" w:lineRule="auto" w:before="38"/>
        <w:ind w:left="120" w:right="0" w:firstLine="0"/>
        <w:jc w:val="left"/>
        <w:rPr>
          <w:sz w:val="16"/>
        </w:rPr>
      </w:pPr>
      <w:r>
        <w:rPr>
          <w:color w:val="231F20"/>
          <w:position w:val="5"/>
          <w:sz w:val="9"/>
        </w:rPr>
        <w:t>18 </w:t>
      </w:r>
      <w:r>
        <w:rPr>
          <w:i/>
          <w:color w:val="231F20"/>
          <w:sz w:val="16"/>
        </w:rPr>
        <w:t>Friedenberg</w:t>
      </w:r>
      <w:r>
        <w:rPr>
          <w:color w:val="231F20"/>
          <w:sz w:val="16"/>
        </w:rPr>
        <w:t>, 911 F.3d at 1097 (quoting </w:t>
      </w:r>
      <w:r>
        <w:rPr>
          <w:i/>
          <w:color w:val="231F20"/>
          <w:sz w:val="16"/>
        </w:rPr>
        <w:t>Chan- </w:t>
      </w:r>
      <w:r>
        <w:rPr>
          <w:i/>
          <w:color w:val="231F20"/>
          <w:sz w:val="16"/>
        </w:rPr>
        <w:t>dler</w:t>
      </w:r>
      <w:r>
        <w:rPr>
          <w:color w:val="231F20"/>
          <w:sz w:val="16"/>
        </w:rPr>
        <w:t>, 520 U.S. at 319).</w:t>
      </w:r>
    </w:p>
    <w:p>
      <w:pPr>
        <w:spacing w:before="38"/>
        <w:ind w:left="120" w:right="0" w:firstLine="0"/>
        <w:jc w:val="left"/>
        <w:rPr>
          <w:sz w:val="16"/>
        </w:rPr>
      </w:pPr>
      <w:r>
        <w:rPr>
          <w:color w:val="231F20"/>
          <w:position w:val="5"/>
          <w:sz w:val="9"/>
        </w:rPr>
        <w:t>19     </w:t>
      </w:r>
      <w:r>
        <w:rPr>
          <w:i/>
          <w:color w:val="231F20"/>
          <w:sz w:val="16"/>
        </w:rPr>
        <w:t>Id. </w:t>
      </w:r>
      <w:r>
        <w:rPr>
          <w:color w:val="231F20"/>
          <w:sz w:val="16"/>
        </w:rPr>
        <w:t>at</w:t>
      </w:r>
      <w:r>
        <w:rPr>
          <w:color w:val="231F20"/>
          <w:spacing w:val="6"/>
          <w:sz w:val="16"/>
        </w:rPr>
        <w:t> </w:t>
      </w:r>
      <w:r>
        <w:rPr>
          <w:color w:val="231F20"/>
          <w:sz w:val="16"/>
        </w:rPr>
        <w:t>1098.</w:t>
      </w:r>
    </w:p>
    <w:p>
      <w:pPr>
        <w:spacing w:before="58"/>
        <w:ind w:left="120" w:right="0" w:firstLine="0"/>
        <w:jc w:val="left"/>
        <w:rPr>
          <w:sz w:val="16"/>
        </w:rPr>
      </w:pPr>
      <w:r>
        <w:rPr>
          <w:color w:val="231F20"/>
          <w:position w:val="5"/>
          <w:sz w:val="9"/>
        </w:rPr>
        <w:t>20     </w:t>
      </w:r>
      <w:r>
        <w:rPr>
          <w:i/>
          <w:color w:val="231F20"/>
          <w:sz w:val="16"/>
        </w:rPr>
        <w:t>Id. </w:t>
      </w:r>
      <w:r>
        <w:rPr>
          <w:color w:val="231F20"/>
          <w:sz w:val="16"/>
        </w:rPr>
        <w:t>at</w:t>
      </w:r>
      <w:r>
        <w:rPr>
          <w:color w:val="231F20"/>
          <w:spacing w:val="6"/>
          <w:sz w:val="16"/>
        </w:rPr>
        <w:t> </w:t>
      </w:r>
      <w:r>
        <w:rPr>
          <w:color w:val="231F20"/>
          <w:sz w:val="16"/>
        </w:rPr>
        <w:t>1099.</w:t>
      </w:r>
    </w:p>
    <w:p>
      <w:pPr>
        <w:spacing w:before="57"/>
        <w:ind w:left="120" w:right="0" w:firstLine="0"/>
        <w:jc w:val="both"/>
        <w:rPr>
          <w:i/>
          <w:sz w:val="16"/>
        </w:rPr>
      </w:pPr>
      <w:r>
        <w:rPr>
          <w:color w:val="231F20"/>
          <w:w w:val="105"/>
          <w:position w:val="5"/>
          <w:sz w:val="9"/>
        </w:rPr>
        <w:t>21 </w:t>
      </w:r>
      <w:r>
        <w:rPr>
          <w:i/>
          <w:color w:val="231F20"/>
          <w:w w:val="105"/>
          <w:sz w:val="16"/>
        </w:rPr>
        <w:t>Id.</w:t>
      </w:r>
    </w:p>
    <w:p>
      <w:pPr>
        <w:spacing w:line="264" w:lineRule="auto" w:before="58"/>
        <w:ind w:left="120" w:right="294" w:firstLine="0"/>
        <w:jc w:val="both"/>
        <w:rPr>
          <w:sz w:val="16"/>
        </w:rPr>
      </w:pPr>
      <w:r>
        <w:rPr>
          <w:color w:val="231F20"/>
          <w:position w:val="5"/>
          <w:sz w:val="9"/>
        </w:rPr>
        <w:t>22 </w:t>
      </w:r>
      <w:r>
        <w:rPr>
          <w:color w:val="231F20"/>
          <w:sz w:val="16"/>
        </w:rPr>
        <w:t>The </w:t>
      </w:r>
      <w:r>
        <w:rPr>
          <w:color w:val="231F20"/>
          <w:spacing w:val="2"/>
          <w:sz w:val="16"/>
        </w:rPr>
        <w:t>court observed that substitute teach- </w:t>
      </w:r>
      <w:r>
        <w:rPr>
          <w:color w:val="231F20"/>
          <w:sz w:val="16"/>
        </w:rPr>
        <w:t>ers may be </w:t>
      </w:r>
      <w:r>
        <w:rPr>
          <w:color w:val="231F20"/>
          <w:spacing w:val="2"/>
          <w:sz w:val="16"/>
        </w:rPr>
        <w:t>supervised more frequently </w:t>
      </w:r>
      <w:r>
        <w:rPr>
          <w:color w:val="231F20"/>
          <w:spacing w:val="3"/>
          <w:sz w:val="16"/>
        </w:rPr>
        <w:t>than </w:t>
      </w:r>
      <w:r>
        <w:rPr>
          <w:color w:val="231F20"/>
          <w:sz w:val="16"/>
        </w:rPr>
        <w:t>permanent teachers, which could increase the </w:t>
      </w:r>
      <w:r>
        <w:rPr>
          <w:color w:val="231F20"/>
          <w:spacing w:val="2"/>
          <w:sz w:val="16"/>
        </w:rPr>
        <w:t>likelihood that </w:t>
      </w:r>
      <w:r>
        <w:rPr>
          <w:color w:val="231F20"/>
          <w:sz w:val="16"/>
        </w:rPr>
        <w:t>an </w:t>
      </w:r>
      <w:r>
        <w:rPr>
          <w:color w:val="231F20"/>
          <w:spacing w:val="2"/>
          <w:sz w:val="16"/>
        </w:rPr>
        <w:t>impaired teacher could </w:t>
      </w:r>
      <w:r>
        <w:rPr>
          <w:color w:val="231F20"/>
          <w:spacing w:val="3"/>
          <w:sz w:val="16"/>
        </w:rPr>
        <w:t>be </w:t>
      </w:r>
      <w:r>
        <w:rPr>
          <w:color w:val="231F20"/>
          <w:sz w:val="16"/>
        </w:rPr>
        <w:t>discovered. However, the court found that the school district did not have to take the chance given</w:t>
      </w:r>
      <w:r>
        <w:rPr>
          <w:color w:val="231F20"/>
          <w:spacing w:val="-16"/>
          <w:sz w:val="16"/>
        </w:rPr>
        <w:t> </w:t>
      </w:r>
      <w:r>
        <w:rPr>
          <w:color w:val="231F20"/>
          <w:sz w:val="16"/>
        </w:rPr>
        <w:t>the</w:t>
      </w:r>
      <w:r>
        <w:rPr>
          <w:color w:val="231F20"/>
          <w:spacing w:val="-16"/>
          <w:sz w:val="16"/>
        </w:rPr>
        <w:t> </w:t>
      </w:r>
      <w:r>
        <w:rPr>
          <w:color w:val="231F20"/>
          <w:sz w:val="16"/>
        </w:rPr>
        <w:t>gravity</w:t>
      </w:r>
      <w:r>
        <w:rPr>
          <w:color w:val="231F20"/>
          <w:spacing w:val="-15"/>
          <w:sz w:val="16"/>
        </w:rPr>
        <w:t> </w:t>
      </w:r>
      <w:r>
        <w:rPr>
          <w:color w:val="231F20"/>
          <w:sz w:val="16"/>
        </w:rPr>
        <w:t>of</w:t>
      </w:r>
      <w:r>
        <w:rPr>
          <w:color w:val="231F20"/>
          <w:spacing w:val="-16"/>
          <w:sz w:val="16"/>
        </w:rPr>
        <w:t> </w:t>
      </w:r>
      <w:r>
        <w:rPr>
          <w:color w:val="231F20"/>
          <w:sz w:val="16"/>
        </w:rPr>
        <w:t>harm</w:t>
      </w:r>
      <w:r>
        <w:rPr>
          <w:color w:val="231F20"/>
          <w:spacing w:val="-16"/>
          <w:sz w:val="16"/>
        </w:rPr>
        <w:t> </w:t>
      </w:r>
      <w:r>
        <w:rPr>
          <w:color w:val="231F20"/>
          <w:sz w:val="16"/>
        </w:rPr>
        <w:t>posed</w:t>
      </w:r>
      <w:r>
        <w:rPr>
          <w:color w:val="231F20"/>
          <w:spacing w:val="-15"/>
          <w:sz w:val="16"/>
        </w:rPr>
        <w:t> </w:t>
      </w:r>
      <w:r>
        <w:rPr>
          <w:color w:val="231F20"/>
          <w:sz w:val="16"/>
        </w:rPr>
        <w:t>if</w:t>
      </w:r>
      <w:r>
        <w:rPr>
          <w:color w:val="231F20"/>
          <w:spacing w:val="-16"/>
          <w:sz w:val="16"/>
        </w:rPr>
        <w:t> </w:t>
      </w:r>
      <w:r>
        <w:rPr>
          <w:color w:val="231F20"/>
          <w:sz w:val="16"/>
        </w:rPr>
        <w:t>the</w:t>
      </w:r>
      <w:r>
        <w:rPr>
          <w:color w:val="231F20"/>
          <w:spacing w:val="-16"/>
          <w:sz w:val="16"/>
        </w:rPr>
        <w:t> </w:t>
      </w:r>
      <w:r>
        <w:rPr>
          <w:color w:val="231F20"/>
          <w:sz w:val="16"/>
        </w:rPr>
        <w:t>impairment was not discovered. In addition, it noted that “at the end of the </w:t>
      </w:r>
      <w:r>
        <w:rPr>
          <w:color w:val="231F20"/>
          <w:spacing w:val="-3"/>
          <w:sz w:val="16"/>
        </w:rPr>
        <w:t>day, </w:t>
      </w:r>
      <w:r>
        <w:rPr>
          <w:color w:val="231F20"/>
          <w:sz w:val="16"/>
        </w:rPr>
        <w:t>there is no real distinction between</w:t>
      </w:r>
      <w:r>
        <w:rPr>
          <w:color w:val="231F20"/>
          <w:spacing w:val="-9"/>
          <w:sz w:val="16"/>
        </w:rPr>
        <w:t> </w:t>
      </w:r>
      <w:r>
        <w:rPr>
          <w:color w:val="231F20"/>
          <w:sz w:val="16"/>
        </w:rPr>
        <w:t>the</w:t>
      </w:r>
      <w:r>
        <w:rPr>
          <w:color w:val="231F20"/>
          <w:spacing w:val="-8"/>
          <w:sz w:val="16"/>
        </w:rPr>
        <w:t> </w:t>
      </w:r>
      <w:r>
        <w:rPr>
          <w:color w:val="231F20"/>
          <w:sz w:val="16"/>
        </w:rPr>
        <w:t>responsibilities</w:t>
      </w:r>
      <w:r>
        <w:rPr>
          <w:color w:val="231F20"/>
          <w:spacing w:val="-9"/>
          <w:sz w:val="16"/>
        </w:rPr>
        <w:t> </w:t>
      </w:r>
      <w:r>
        <w:rPr>
          <w:color w:val="231F20"/>
          <w:sz w:val="16"/>
        </w:rPr>
        <w:t>assumed</w:t>
      </w:r>
      <w:r>
        <w:rPr>
          <w:color w:val="231F20"/>
          <w:spacing w:val="-8"/>
          <w:sz w:val="16"/>
        </w:rPr>
        <w:t> </w:t>
      </w:r>
      <w:r>
        <w:rPr>
          <w:color w:val="231F20"/>
          <w:sz w:val="16"/>
        </w:rPr>
        <w:t>by</w:t>
      </w:r>
      <w:r>
        <w:rPr>
          <w:color w:val="231F20"/>
          <w:spacing w:val="-8"/>
          <w:sz w:val="16"/>
        </w:rPr>
        <w:t> </w:t>
      </w:r>
      <w:r>
        <w:rPr>
          <w:color w:val="231F20"/>
          <w:sz w:val="16"/>
        </w:rPr>
        <w:t>substi- tute teachers and full-time classroom teachers except for the amount of time they spend in the classroom.” </w:t>
      </w:r>
      <w:r>
        <w:rPr>
          <w:i/>
          <w:color w:val="231F20"/>
          <w:sz w:val="16"/>
        </w:rPr>
        <w:t>Id. </w:t>
      </w:r>
      <w:r>
        <w:rPr>
          <w:color w:val="231F20"/>
          <w:sz w:val="16"/>
        </w:rPr>
        <w:t>at</w:t>
      </w:r>
      <w:r>
        <w:rPr>
          <w:color w:val="231F20"/>
          <w:spacing w:val="-1"/>
          <w:sz w:val="16"/>
        </w:rPr>
        <w:t> </w:t>
      </w:r>
      <w:r>
        <w:rPr>
          <w:color w:val="231F20"/>
          <w:spacing w:val="-4"/>
          <w:sz w:val="16"/>
        </w:rPr>
        <w:t>1103.</w:t>
      </w:r>
    </w:p>
    <w:p>
      <w:pPr>
        <w:spacing w:before="29"/>
        <w:ind w:left="120" w:right="0" w:firstLine="0"/>
        <w:jc w:val="both"/>
        <w:rPr>
          <w:sz w:val="16"/>
        </w:rPr>
      </w:pPr>
      <w:r>
        <w:rPr>
          <w:color w:val="231F20"/>
          <w:position w:val="5"/>
          <w:sz w:val="9"/>
        </w:rPr>
        <w:t>23 </w:t>
      </w:r>
      <w:r>
        <w:rPr>
          <w:i/>
          <w:color w:val="231F20"/>
          <w:sz w:val="16"/>
        </w:rPr>
        <w:t>Id. </w:t>
      </w:r>
      <w:r>
        <w:rPr>
          <w:color w:val="231F20"/>
          <w:sz w:val="16"/>
        </w:rPr>
        <w:t>at 1100.</w:t>
      </w:r>
    </w:p>
    <w:p>
      <w:pPr>
        <w:spacing w:line="264" w:lineRule="auto" w:before="57"/>
        <w:ind w:left="120" w:right="295" w:firstLine="0"/>
        <w:jc w:val="both"/>
        <w:rPr>
          <w:sz w:val="16"/>
        </w:rPr>
      </w:pPr>
      <w:r>
        <w:rPr>
          <w:color w:val="231F20"/>
          <w:position w:val="5"/>
          <w:sz w:val="9"/>
        </w:rPr>
        <w:t>24 </w:t>
      </w:r>
      <w:r>
        <w:rPr>
          <w:color w:val="231F20"/>
          <w:sz w:val="16"/>
        </w:rPr>
        <w:t>In rejecting the argument that the harm was </w:t>
      </w:r>
      <w:r>
        <w:rPr>
          <w:color w:val="231F20"/>
          <w:spacing w:val="2"/>
          <w:sz w:val="16"/>
        </w:rPr>
        <w:t>speculative, </w:t>
      </w:r>
      <w:r>
        <w:rPr>
          <w:color w:val="231F20"/>
          <w:sz w:val="16"/>
        </w:rPr>
        <w:t>the </w:t>
      </w:r>
      <w:r>
        <w:rPr>
          <w:color w:val="231F20"/>
          <w:spacing w:val="2"/>
          <w:sz w:val="16"/>
        </w:rPr>
        <w:t>court recognized: </w:t>
      </w:r>
      <w:r>
        <w:rPr>
          <w:color w:val="231F20"/>
          <w:sz w:val="16"/>
        </w:rPr>
        <w:t>“We </w:t>
      </w:r>
      <w:r>
        <w:rPr>
          <w:color w:val="231F20"/>
          <w:spacing w:val="3"/>
          <w:sz w:val="16"/>
        </w:rPr>
        <w:t>know </w:t>
      </w:r>
      <w:r>
        <w:rPr>
          <w:color w:val="231F20"/>
          <w:sz w:val="16"/>
        </w:rPr>
        <w:t>with a high degree of confidence that serious problems will arise, that substitute teachers just like</w:t>
      </w:r>
      <w:r>
        <w:rPr>
          <w:color w:val="231F20"/>
          <w:spacing w:val="-16"/>
          <w:sz w:val="16"/>
        </w:rPr>
        <w:t> </w:t>
      </w:r>
      <w:r>
        <w:rPr>
          <w:color w:val="231F20"/>
          <w:sz w:val="16"/>
        </w:rPr>
        <w:t>permanent</w:t>
      </w:r>
      <w:r>
        <w:rPr>
          <w:color w:val="231F20"/>
          <w:spacing w:val="-16"/>
          <w:sz w:val="16"/>
        </w:rPr>
        <w:t> </w:t>
      </w:r>
      <w:r>
        <w:rPr>
          <w:color w:val="231F20"/>
          <w:sz w:val="16"/>
        </w:rPr>
        <w:t>teachers</w:t>
      </w:r>
      <w:r>
        <w:rPr>
          <w:color w:val="231F20"/>
          <w:spacing w:val="-16"/>
          <w:sz w:val="16"/>
        </w:rPr>
        <w:t> </w:t>
      </w:r>
      <w:r>
        <w:rPr>
          <w:color w:val="231F20"/>
          <w:sz w:val="16"/>
        </w:rPr>
        <w:t>are</w:t>
      </w:r>
      <w:r>
        <w:rPr>
          <w:color w:val="231F20"/>
          <w:spacing w:val="-16"/>
          <w:sz w:val="16"/>
        </w:rPr>
        <w:t> </w:t>
      </w:r>
      <w:r>
        <w:rPr>
          <w:color w:val="231F20"/>
          <w:sz w:val="16"/>
        </w:rPr>
        <w:t>the</w:t>
      </w:r>
      <w:r>
        <w:rPr>
          <w:color w:val="231F20"/>
          <w:spacing w:val="-16"/>
          <w:sz w:val="16"/>
        </w:rPr>
        <w:t> </w:t>
      </w:r>
      <w:r>
        <w:rPr>
          <w:color w:val="231F20"/>
          <w:sz w:val="16"/>
        </w:rPr>
        <w:t>first</w:t>
      </w:r>
      <w:r>
        <w:rPr>
          <w:color w:val="231F20"/>
          <w:spacing w:val="-17"/>
          <w:sz w:val="16"/>
        </w:rPr>
        <w:t> </w:t>
      </w:r>
      <w:r>
        <w:rPr>
          <w:color w:val="231F20"/>
          <w:sz w:val="16"/>
        </w:rPr>
        <w:t>and</w:t>
      </w:r>
      <w:r>
        <w:rPr>
          <w:color w:val="231F20"/>
          <w:spacing w:val="-16"/>
          <w:sz w:val="16"/>
        </w:rPr>
        <w:t> </w:t>
      </w:r>
      <w:r>
        <w:rPr>
          <w:color w:val="231F20"/>
          <w:sz w:val="16"/>
        </w:rPr>
        <w:t>primary line</w:t>
      </w:r>
      <w:r>
        <w:rPr>
          <w:color w:val="231F20"/>
          <w:spacing w:val="-16"/>
          <w:sz w:val="16"/>
        </w:rPr>
        <w:t> </w:t>
      </w:r>
      <w:r>
        <w:rPr>
          <w:color w:val="231F20"/>
          <w:sz w:val="16"/>
        </w:rPr>
        <w:t>of</w:t>
      </w:r>
      <w:r>
        <w:rPr>
          <w:color w:val="231F20"/>
          <w:spacing w:val="-15"/>
          <w:sz w:val="16"/>
        </w:rPr>
        <w:t> </w:t>
      </w:r>
      <w:r>
        <w:rPr>
          <w:color w:val="231F20"/>
          <w:sz w:val="16"/>
        </w:rPr>
        <w:t>protection</w:t>
      </w:r>
      <w:r>
        <w:rPr>
          <w:color w:val="231F20"/>
          <w:spacing w:val="-16"/>
          <w:sz w:val="16"/>
        </w:rPr>
        <w:t> </w:t>
      </w:r>
      <w:r>
        <w:rPr>
          <w:color w:val="231F20"/>
          <w:sz w:val="16"/>
        </w:rPr>
        <w:t>for</w:t>
      </w:r>
      <w:r>
        <w:rPr>
          <w:color w:val="231F20"/>
          <w:spacing w:val="-15"/>
          <w:sz w:val="16"/>
        </w:rPr>
        <w:t> </w:t>
      </w:r>
      <w:r>
        <w:rPr>
          <w:color w:val="231F20"/>
          <w:sz w:val="16"/>
        </w:rPr>
        <w:t>minor</w:t>
      </w:r>
      <w:r>
        <w:rPr>
          <w:color w:val="231F20"/>
          <w:spacing w:val="-15"/>
          <w:sz w:val="16"/>
        </w:rPr>
        <w:t> </w:t>
      </w:r>
      <w:r>
        <w:rPr>
          <w:color w:val="231F20"/>
          <w:sz w:val="16"/>
        </w:rPr>
        <w:t>students</w:t>
      </w:r>
      <w:r>
        <w:rPr>
          <w:color w:val="231F20"/>
          <w:spacing w:val="-16"/>
          <w:sz w:val="16"/>
        </w:rPr>
        <w:t> </w:t>
      </w:r>
      <w:r>
        <w:rPr>
          <w:color w:val="231F20"/>
          <w:sz w:val="16"/>
        </w:rPr>
        <w:t>in</w:t>
      </w:r>
      <w:r>
        <w:rPr>
          <w:color w:val="231F20"/>
          <w:spacing w:val="-15"/>
          <w:sz w:val="16"/>
        </w:rPr>
        <w:t> </w:t>
      </w:r>
      <w:r>
        <w:rPr>
          <w:color w:val="231F20"/>
          <w:sz w:val="16"/>
        </w:rPr>
        <w:t>the</w:t>
      </w:r>
      <w:r>
        <w:rPr>
          <w:color w:val="231F20"/>
          <w:spacing w:val="-15"/>
          <w:sz w:val="16"/>
        </w:rPr>
        <w:t> </w:t>
      </w:r>
      <w:r>
        <w:rPr>
          <w:color w:val="231F20"/>
          <w:sz w:val="16"/>
        </w:rPr>
        <w:t>care</w:t>
      </w:r>
      <w:r>
        <w:rPr>
          <w:color w:val="231F20"/>
          <w:spacing w:val="-16"/>
          <w:sz w:val="16"/>
        </w:rPr>
        <w:t> </w:t>
      </w:r>
      <w:r>
        <w:rPr>
          <w:color w:val="231F20"/>
          <w:sz w:val="16"/>
        </w:rPr>
        <w:t>of the</w:t>
      </w:r>
      <w:r>
        <w:rPr>
          <w:color w:val="231F20"/>
          <w:spacing w:val="-18"/>
          <w:sz w:val="16"/>
        </w:rPr>
        <w:t> </w:t>
      </w:r>
      <w:r>
        <w:rPr>
          <w:color w:val="231F20"/>
          <w:sz w:val="16"/>
        </w:rPr>
        <w:t>public</w:t>
      </w:r>
      <w:r>
        <w:rPr>
          <w:color w:val="231F20"/>
          <w:spacing w:val="-18"/>
          <w:sz w:val="16"/>
        </w:rPr>
        <w:t> </w:t>
      </w:r>
      <w:r>
        <w:rPr>
          <w:color w:val="231F20"/>
          <w:sz w:val="16"/>
        </w:rPr>
        <w:t>schools,</w:t>
      </w:r>
      <w:r>
        <w:rPr>
          <w:color w:val="231F20"/>
          <w:spacing w:val="-18"/>
          <w:sz w:val="16"/>
        </w:rPr>
        <w:t> </w:t>
      </w:r>
      <w:r>
        <w:rPr>
          <w:color w:val="231F20"/>
          <w:sz w:val="16"/>
        </w:rPr>
        <w:t>and</w:t>
      </w:r>
      <w:r>
        <w:rPr>
          <w:color w:val="231F20"/>
          <w:spacing w:val="-17"/>
          <w:sz w:val="16"/>
        </w:rPr>
        <w:t> </w:t>
      </w:r>
      <w:r>
        <w:rPr>
          <w:color w:val="231F20"/>
          <w:sz w:val="16"/>
        </w:rPr>
        <w:t>that</w:t>
      </w:r>
      <w:r>
        <w:rPr>
          <w:color w:val="231F20"/>
          <w:spacing w:val="-18"/>
          <w:sz w:val="16"/>
        </w:rPr>
        <w:t> </w:t>
      </w:r>
      <w:r>
        <w:rPr>
          <w:color w:val="231F20"/>
          <w:sz w:val="16"/>
        </w:rPr>
        <w:t>an</w:t>
      </w:r>
      <w:r>
        <w:rPr>
          <w:color w:val="231F20"/>
          <w:spacing w:val="-18"/>
          <w:sz w:val="16"/>
        </w:rPr>
        <w:t> </w:t>
      </w:r>
      <w:r>
        <w:rPr>
          <w:color w:val="231F20"/>
          <w:sz w:val="16"/>
        </w:rPr>
        <w:t>intoxicated</w:t>
      </w:r>
      <w:r>
        <w:rPr>
          <w:color w:val="231F20"/>
          <w:spacing w:val="-18"/>
          <w:sz w:val="16"/>
        </w:rPr>
        <w:t> </w:t>
      </w:r>
      <w:r>
        <w:rPr>
          <w:color w:val="231F20"/>
          <w:sz w:val="16"/>
        </w:rPr>
        <w:t>guard- ian may well be unable to respond properly and promptly.” </w:t>
      </w:r>
      <w:r>
        <w:rPr>
          <w:i/>
          <w:color w:val="231F20"/>
          <w:sz w:val="16"/>
        </w:rPr>
        <w:t>Id. </w:t>
      </w:r>
      <w:r>
        <w:rPr>
          <w:color w:val="231F20"/>
          <w:sz w:val="16"/>
        </w:rPr>
        <w:t>at</w:t>
      </w:r>
      <w:r>
        <w:rPr>
          <w:color w:val="231F20"/>
          <w:spacing w:val="-3"/>
          <w:sz w:val="16"/>
        </w:rPr>
        <w:t> </w:t>
      </w:r>
      <w:r>
        <w:rPr>
          <w:color w:val="231F20"/>
          <w:spacing w:val="-4"/>
          <w:sz w:val="16"/>
        </w:rPr>
        <w:t>1100.</w:t>
      </w:r>
    </w:p>
    <w:p>
      <w:pPr>
        <w:spacing w:before="22"/>
        <w:ind w:left="120" w:right="0" w:firstLine="0"/>
        <w:jc w:val="both"/>
        <w:rPr>
          <w:sz w:val="16"/>
        </w:rPr>
      </w:pPr>
      <w:r>
        <w:rPr>
          <w:color w:val="231F20"/>
          <w:position w:val="5"/>
          <w:sz w:val="9"/>
        </w:rPr>
        <w:t>25 </w:t>
      </w:r>
      <w:r>
        <w:rPr>
          <w:i/>
          <w:color w:val="231F20"/>
          <w:sz w:val="16"/>
        </w:rPr>
        <w:t>Id. </w:t>
      </w:r>
      <w:r>
        <w:rPr>
          <w:color w:val="231F20"/>
          <w:sz w:val="16"/>
        </w:rPr>
        <w:t>at 1104.</w:t>
      </w:r>
    </w:p>
    <w:p>
      <w:pPr>
        <w:spacing w:line="264" w:lineRule="auto" w:before="48"/>
        <w:ind w:left="120" w:right="295" w:firstLine="0"/>
        <w:jc w:val="both"/>
        <w:rPr>
          <w:sz w:val="16"/>
        </w:rPr>
      </w:pPr>
      <w:r>
        <w:rPr>
          <w:color w:val="231F20"/>
          <w:position w:val="5"/>
          <w:sz w:val="9"/>
        </w:rPr>
        <w:t>26 </w:t>
      </w:r>
      <w:r>
        <w:rPr>
          <w:color w:val="231F20"/>
          <w:sz w:val="16"/>
        </w:rPr>
        <w:t>As the court observed, “the government is justified</w:t>
      </w:r>
      <w:r>
        <w:rPr>
          <w:color w:val="231F20"/>
          <w:spacing w:val="-10"/>
          <w:sz w:val="16"/>
        </w:rPr>
        <w:t> </w:t>
      </w:r>
      <w:r>
        <w:rPr>
          <w:color w:val="231F20"/>
          <w:sz w:val="16"/>
        </w:rPr>
        <w:t>in</w:t>
      </w:r>
      <w:r>
        <w:rPr>
          <w:color w:val="231F20"/>
          <w:spacing w:val="-10"/>
          <w:sz w:val="16"/>
        </w:rPr>
        <w:t> </w:t>
      </w:r>
      <w:r>
        <w:rPr>
          <w:color w:val="231F20"/>
          <w:sz w:val="16"/>
        </w:rPr>
        <w:t>demanding</w:t>
      </w:r>
      <w:r>
        <w:rPr>
          <w:color w:val="231F20"/>
          <w:spacing w:val="-9"/>
          <w:sz w:val="16"/>
        </w:rPr>
        <w:t> </w:t>
      </w:r>
      <w:r>
        <w:rPr>
          <w:color w:val="231F20"/>
          <w:sz w:val="16"/>
        </w:rPr>
        <w:t>more</w:t>
      </w:r>
      <w:r>
        <w:rPr>
          <w:color w:val="231F20"/>
          <w:spacing w:val="-10"/>
          <w:sz w:val="16"/>
        </w:rPr>
        <w:t> </w:t>
      </w:r>
      <w:r>
        <w:rPr>
          <w:color w:val="231F20"/>
          <w:sz w:val="16"/>
        </w:rPr>
        <w:t>from</w:t>
      </w:r>
      <w:r>
        <w:rPr>
          <w:color w:val="231F20"/>
          <w:spacing w:val="-9"/>
          <w:sz w:val="16"/>
        </w:rPr>
        <w:t> </w:t>
      </w:r>
      <w:r>
        <w:rPr>
          <w:color w:val="231F20"/>
          <w:sz w:val="16"/>
        </w:rPr>
        <w:t>those</w:t>
      </w:r>
      <w:r>
        <w:rPr>
          <w:color w:val="231F20"/>
          <w:spacing w:val="-10"/>
          <w:sz w:val="16"/>
        </w:rPr>
        <w:t> </w:t>
      </w:r>
      <w:r>
        <w:rPr>
          <w:color w:val="231F20"/>
          <w:sz w:val="16"/>
        </w:rPr>
        <w:t>to</w:t>
      </w:r>
      <w:r>
        <w:rPr>
          <w:color w:val="231F20"/>
          <w:spacing w:val="-10"/>
          <w:sz w:val="16"/>
        </w:rPr>
        <w:t> </w:t>
      </w:r>
      <w:r>
        <w:rPr>
          <w:color w:val="231F20"/>
          <w:sz w:val="16"/>
        </w:rPr>
        <w:t>whom our</w:t>
      </w:r>
      <w:r>
        <w:rPr>
          <w:color w:val="231F20"/>
          <w:spacing w:val="-13"/>
          <w:sz w:val="16"/>
        </w:rPr>
        <w:t> </w:t>
      </w:r>
      <w:r>
        <w:rPr>
          <w:color w:val="231F20"/>
          <w:sz w:val="16"/>
        </w:rPr>
        <w:t>country’s</w:t>
      </w:r>
      <w:r>
        <w:rPr>
          <w:color w:val="231F20"/>
          <w:spacing w:val="-13"/>
          <w:sz w:val="16"/>
        </w:rPr>
        <w:t> </w:t>
      </w:r>
      <w:r>
        <w:rPr>
          <w:color w:val="231F20"/>
          <w:sz w:val="16"/>
        </w:rPr>
        <w:t>children</w:t>
      </w:r>
      <w:r>
        <w:rPr>
          <w:color w:val="231F20"/>
          <w:spacing w:val="-13"/>
          <w:sz w:val="16"/>
        </w:rPr>
        <w:t> </w:t>
      </w:r>
      <w:r>
        <w:rPr>
          <w:color w:val="231F20"/>
          <w:sz w:val="16"/>
        </w:rPr>
        <w:t>are</w:t>
      </w:r>
      <w:r>
        <w:rPr>
          <w:color w:val="231F20"/>
          <w:spacing w:val="-13"/>
          <w:sz w:val="16"/>
        </w:rPr>
        <w:t> </w:t>
      </w:r>
      <w:r>
        <w:rPr>
          <w:color w:val="231F20"/>
          <w:sz w:val="16"/>
        </w:rPr>
        <w:t>entrusted.”</w:t>
      </w:r>
      <w:r>
        <w:rPr>
          <w:color w:val="231F20"/>
          <w:spacing w:val="-13"/>
          <w:sz w:val="16"/>
        </w:rPr>
        <w:t> </w:t>
      </w:r>
      <w:r>
        <w:rPr>
          <w:i/>
          <w:color w:val="231F20"/>
          <w:sz w:val="16"/>
        </w:rPr>
        <w:t>Id.</w:t>
      </w:r>
      <w:r>
        <w:rPr>
          <w:i/>
          <w:color w:val="231F20"/>
          <w:spacing w:val="-12"/>
          <w:sz w:val="16"/>
        </w:rPr>
        <w:t> </w:t>
      </w:r>
      <w:r>
        <w:rPr>
          <w:color w:val="231F20"/>
          <w:sz w:val="16"/>
        </w:rPr>
        <w:t>at</w:t>
      </w:r>
      <w:r>
        <w:rPr>
          <w:color w:val="231F20"/>
          <w:spacing w:val="-13"/>
          <w:sz w:val="16"/>
        </w:rPr>
        <w:t> </w:t>
      </w:r>
      <w:r>
        <w:rPr>
          <w:color w:val="231F20"/>
          <w:spacing w:val="-4"/>
          <w:sz w:val="16"/>
        </w:rPr>
        <w:t>1105.</w:t>
      </w:r>
    </w:p>
    <w:p>
      <w:pPr>
        <w:spacing w:line="264" w:lineRule="auto" w:before="27"/>
        <w:ind w:left="120" w:right="293" w:firstLine="0"/>
        <w:jc w:val="both"/>
        <w:rPr>
          <w:sz w:val="16"/>
        </w:rPr>
      </w:pPr>
      <w:r>
        <w:rPr>
          <w:color w:val="231F20"/>
          <w:position w:val="5"/>
          <w:sz w:val="9"/>
        </w:rPr>
        <w:t>27 </w:t>
      </w:r>
      <w:r>
        <w:rPr>
          <w:color w:val="231F20"/>
          <w:sz w:val="16"/>
        </w:rPr>
        <w:t>While this decision addressed only the is- </w:t>
      </w:r>
      <w:r>
        <w:rPr>
          <w:color w:val="231F20"/>
          <w:spacing w:val="3"/>
          <w:sz w:val="16"/>
        </w:rPr>
        <w:t>suance </w:t>
      </w:r>
      <w:r>
        <w:rPr>
          <w:color w:val="231F20"/>
          <w:sz w:val="16"/>
        </w:rPr>
        <w:t>of a </w:t>
      </w:r>
      <w:r>
        <w:rPr>
          <w:color w:val="231F20"/>
          <w:spacing w:val="3"/>
          <w:sz w:val="16"/>
        </w:rPr>
        <w:t>preliminary injunction, after </w:t>
      </w:r>
      <w:r>
        <w:rPr>
          <w:color w:val="231F20"/>
          <w:spacing w:val="4"/>
          <w:sz w:val="16"/>
        </w:rPr>
        <w:t>the </w:t>
      </w:r>
      <w:r>
        <w:rPr>
          <w:color w:val="231F20"/>
          <w:sz w:val="16"/>
        </w:rPr>
        <w:t>Eleventh</w:t>
      </w:r>
      <w:r>
        <w:rPr>
          <w:color w:val="231F20"/>
          <w:spacing w:val="-10"/>
          <w:sz w:val="16"/>
        </w:rPr>
        <w:t> </w:t>
      </w:r>
      <w:r>
        <w:rPr>
          <w:color w:val="231F20"/>
          <w:sz w:val="16"/>
        </w:rPr>
        <w:t>Circuit’s</w:t>
      </w:r>
      <w:r>
        <w:rPr>
          <w:color w:val="231F20"/>
          <w:spacing w:val="-9"/>
          <w:sz w:val="16"/>
        </w:rPr>
        <w:t> </w:t>
      </w:r>
      <w:r>
        <w:rPr>
          <w:color w:val="231F20"/>
          <w:sz w:val="16"/>
        </w:rPr>
        <w:t>decision,</w:t>
      </w:r>
      <w:r>
        <w:rPr>
          <w:color w:val="231F20"/>
          <w:spacing w:val="-9"/>
          <w:sz w:val="16"/>
        </w:rPr>
        <w:t> </w:t>
      </w:r>
      <w:r>
        <w:rPr>
          <w:color w:val="231F20"/>
          <w:sz w:val="16"/>
        </w:rPr>
        <w:t>the</w:t>
      </w:r>
      <w:r>
        <w:rPr>
          <w:color w:val="231F20"/>
          <w:spacing w:val="-9"/>
          <w:sz w:val="16"/>
        </w:rPr>
        <w:t> </w:t>
      </w:r>
      <w:r>
        <w:rPr>
          <w:color w:val="231F20"/>
          <w:sz w:val="16"/>
        </w:rPr>
        <w:t>district</w:t>
      </w:r>
      <w:r>
        <w:rPr>
          <w:color w:val="231F20"/>
          <w:spacing w:val="-9"/>
          <w:sz w:val="16"/>
        </w:rPr>
        <w:t> </w:t>
      </w:r>
      <w:r>
        <w:rPr>
          <w:color w:val="231F20"/>
          <w:sz w:val="16"/>
        </w:rPr>
        <w:t>court</w:t>
      </w:r>
      <w:r>
        <w:rPr>
          <w:color w:val="231F20"/>
          <w:spacing w:val="-9"/>
          <w:sz w:val="16"/>
        </w:rPr>
        <w:t> </w:t>
      </w:r>
      <w:r>
        <w:rPr>
          <w:color w:val="231F20"/>
          <w:sz w:val="16"/>
        </w:rPr>
        <w:t>dis- missed</w:t>
      </w:r>
      <w:r>
        <w:rPr>
          <w:color w:val="231F20"/>
          <w:spacing w:val="-17"/>
          <w:sz w:val="16"/>
        </w:rPr>
        <w:t> </w:t>
      </w:r>
      <w:r>
        <w:rPr>
          <w:color w:val="231F20"/>
          <w:sz w:val="16"/>
        </w:rPr>
        <w:t>the</w:t>
      </w:r>
      <w:r>
        <w:rPr>
          <w:color w:val="231F20"/>
          <w:spacing w:val="-16"/>
          <w:sz w:val="16"/>
        </w:rPr>
        <w:t> </w:t>
      </w:r>
      <w:r>
        <w:rPr>
          <w:color w:val="231F20"/>
          <w:sz w:val="16"/>
        </w:rPr>
        <w:t>case</w:t>
      </w:r>
      <w:r>
        <w:rPr>
          <w:color w:val="231F20"/>
          <w:spacing w:val="-16"/>
          <w:sz w:val="16"/>
        </w:rPr>
        <w:t> </w:t>
      </w:r>
      <w:r>
        <w:rPr>
          <w:color w:val="231F20"/>
          <w:sz w:val="16"/>
        </w:rPr>
        <w:t>with</w:t>
      </w:r>
      <w:r>
        <w:rPr>
          <w:color w:val="231F20"/>
          <w:spacing w:val="-17"/>
          <w:sz w:val="16"/>
        </w:rPr>
        <w:t> </w:t>
      </w:r>
      <w:r>
        <w:rPr>
          <w:color w:val="231F20"/>
          <w:sz w:val="16"/>
        </w:rPr>
        <w:t>prejudice</w:t>
      </w:r>
      <w:r>
        <w:rPr>
          <w:color w:val="231F20"/>
          <w:spacing w:val="-16"/>
          <w:sz w:val="16"/>
        </w:rPr>
        <w:t> </w:t>
      </w:r>
      <w:r>
        <w:rPr>
          <w:color w:val="231F20"/>
          <w:sz w:val="16"/>
        </w:rPr>
        <w:t>after</w:t>
      </w:r>
      <w:r>
        <w:rPr>
          <w:color w:val="231F20"/>
          <w:spacing w:val="-16"/>
          <w:sz w:val="16"/>
        </w:rPr>
        <w:t> </w:t>
      </w:r>
      <w:r>
        <w:rPr>
          <w:color w:val="231F20"/>
          <w:sz w:val="16"/>
        </w:rPr>
        <w:t>a</w:t>
      </w:r>
      <w:r>
        <w:rPr>
          <w:color w:val="231F20"/>
          <w:spacing w:val="-17"/>
          <w:sz w:val="16"/>
        </w:rPr>
        <w:t> </w:t>
      </w:r>
      <w:r>
        <w:rPr>
          <w:color w:val="231F20"/>
          <w:sz w:val="16"/>
        </w:rPr>
        <w:t>stipulation of dismissal was filed by the</w:t>
      </w:r>
      <w:r>
        <w:rPr>
          <w:color w:val="231F20"/>
          <w:spacing w:val="-9"/>
          <w:sz w:val="16"/>
        </w:rPr>
        <w:t> </w:t>
      </w:r>
      <w:r>
        <w:rPr>
          <w:color w:val="231F20"/>
          <w:sz w:val="16"/>
        </w:rPr>
        <w:t>parties.</w:t>
      </w:r>
    </w:p>
    <w:p>
      <w:pPr>
        <w:spacing w:line="264" w:lineRule="auto" w:before="26"/>
        <w:ind w:left="120" w:right="291" w:firstLine="0"/>
        <w:jc w:val="both"/>
        <w:rPr>
          <w:sz w:val="16"/>
        </w:rPr>
      </w:pPr>
      <w:r>
        <w:rPr>
          <w:color w:val="231F20"/>
          <w:position w:val="5"/>
          <w:sz w:val="9"/>
        </w:rPr>
        <w:t>28 </w:t>
      </w:r>
      <w:r>
        <w:rPr>
          <w:color w:val="231F20"/>
          <w:sz w:val="16"/>
        </w:rPr>
        <w:t>“[W]e do not think that by recognizing a spe- cial need in this unique setting we have opened the floodgates to indiscriminate suspicionless searches. We have always required, as we do today,</w:t>
      </w:r>
      <w:r>
        <w:rPr>
          <w:color w:val="231F20"/>
          <w:spacing w:val="-8"/>
          <w:sz w:val="16"/>
        </w:rPr>
        <w:t> </w:t>
      </w:r>
      <w:r>
        <w:rPr>
          <w:color w:val="231F20"/>
          <w:sz w:val="16"/>
        </w:rPr>
        <w:t>an</w:t>
      </w:r>
      <w:r>
        <w:rPr>
          <w:color w:val="231F20"/>
          <w:spacing w:val="-8"/>
          <w:sz w:val="16"/>
        </w:rPr>
        <w:t> </w:t>
      </w:r>
      <w:r>
        <w:rPr>
          <w:color w:val="231F20"/>
          <w:sz w:val="16"/>
        </w:rPr>
        <w:t>exceptional</w:t>
      </w:r>
      <w:r>
        <w:rPr>
          <w:color w:val="231F20"/>
          <w:spacing w:val="-7"/>
          <w:sz w:val="16"/>
        </w:rPr>
        <w:t> </w:t>
      </w:r>
      <w:r>
        <w:rPr>
          <w:color w:val="231F20"/>
          <w:sz w:val="16"/>
        </w:rPr>
        <w:t>showing</w:t>
      </w:r>
      <w:r>
        <w:rPr>
          <w:color w:val="231F20"/>
          <w:spacing w:val="-8"/>
          <w:sz w:val="16"/>
        </w:rPr>
        <w:t> </w:t>
      </w:r>
      <w:r>
        <w:rPr>
          <w:color w:val="231F20"/>
          <w:sz w:val="16"/>
        </w:rPr>
        <w:t>of</w:t>
      </w:r>
      <w:r>
        <w:rPr>
          <w:color w:val="231F20"/>
          <w:spacing w:val="-8"/>
          <w:sz w:val="16"/>
        </w:rPr>
        <w:t> </w:t>
      </w:r>
      <w:r>
        <w:rPr>
          <w:color w:val="231F20"/>
          <w:sz w:val="16"/>
        </w:rPr>
        <w:t>a</w:t>
      </w:r>
      <w:r>
        <w:rPr>
          <w:color w:val="231F20"/>
          <w:spacing w:val="-7"/>
          <w:sz w:val="16"/>
        </w:rPr>
        <w:t> </w:t>
      </w:r>
      <w:r>
        <w:rPr>
          <w:color w:val="231F20"/>
          <w:sz w:val="16"/>
        </w:rPr>
        <w:t>special</w:t>
      </w:r>
      <w:r>
        <w:rPr>
          <w:color w:val="231F20"/>
          <w:spacing w:val="-8"/>
          <w:sz w:val="16"/>
        </w:rPr>
        <w:t> </w:t>
      </w:r>
      <w:r>
        <w:rPr>
          <w:color w:val="231F20"/>
          <w:sz w:val="16"/>
        </w:rPr>
        <w:t>need </w:t>
      </w:r>
      <w:r>
        <w:rPr>
          <w:color w:val="231F20"/>
          <w:spacing w:val="2"/>
          <w:sz w:val="16"/>
        </w:rPr>
        <w:t>to </w:t>
      </w:r>
      <w:r>
        <w:rPr>
          <w:color w:val="231F20"/>
          <w:spacing w:val="3"/>
          <w:sz w:val="16"/>
        </w:rPr>
        <w:t>allow </w:t>
      </w:r>
      <w:r>
        <w:rPr>
          <w:color w:val="231F20"/>
          <w:sz w:val="16"/>
        </w:rPr>
        <w:t>a </w:t>
      </w:r>
      <w:r>
        <w:rPr>
          <w:color w:val="231F20"/>
          <w:spacing w:val="3"/>
          <w:sz w:val="16"/>
        </w:rPr>
        <w:t>suspicionless search, </w:t>
      </w:r>
      <w:r>
        <w:rPr>
          <w:color w:val="231F20"/>
          <w:spacing w:val="2"/>
          <w:sz w:val="16"/>
        </w:rPr>
        <w:t>and not </w:t>
      </w:r>
      <w:r>
        <w:rPr>
          <w:color w:val="231F20"/>
          <w:spacing w:val="4"/>
          <w:sz w:val="16"/>
        </w:rPr>
        <w:t>all </w:t>
      </w:r>
      <w:r>
        <w:rPr>
          <w:color w:val="231F20"/>
          <w:sz w:val="16"/>
        </w:rPr>
        <w:t>government jobs present the same needs.” </w:t>
      </w:r>
      <w:r>
        <w:rPr>
          <w:i/>
          <w:color w:val="231F20"/>
          <w:sz w:val="16"/>
        </w:rPr>
        <w:t>Id. </w:t>
      </w:r>
      <w:r>
        <w:rPr>
          <w:color w:val="231F20"/>
          <w:sz w:val="16"/>
        </w:rPr>
        <w:t>at</w:t>
      </w:r>
      <w:r>
        <w:rPr>
          <w:color w:val="231F20"/>
          <w:spacing w:val="-1"/>
          <w:sz w:val="16"/>
        </w:rPr>
        <w:t> </w:t>
      </w:r>
      <w:r>
        <w:rPr>
          <w:color w:val="231F20"/>
          <w:spacing w:val="-4"/>
          <w:sz w:val="16"/>
        </w:rPr>
        <w:t>1103.</w:t>
      </w:r>
    </w:p>
    <w:p>
      <w:pPr>
        <w:spacing w:line="264" w:lineRule="auto" w:before="23"/>
        <w:ind w:left="120" w:right="296" w:firstLine="0"/>
        <w:jc w:val="both"/>
        <w:rPr>
          <w:sz w:val="16"/>
        </w:rPr>
      </w:pPr>
      <w:r>
        <w:rPr>
          <w:color w:val="231F20"/>
          <w:position w:val="5"/>
          <w:sz w:val="9"/>
        </w:rPr>
        <w:t>29</w:t>
      </w:r>
      <w:r>
        <w:rPr>
          <w:color w:val="231F20"/>
          <w:spacing w:val="15"/>
          <w:position w:val="5"/>
          <w:sz w:val="9"/>
        </w:rPr>
        <w:t> </w:t>
      </w:r>
      <w:r>
        <w:rPr>
          <w:color w:val="231F20"/>
          <w:spacing w:val="-3"/>
          <w:sz w:val="16"/>
        </w:rPr>
        <w:t>“We</w:t>
      </w:r>
      <w:r>
        <w:rPr>
          <w:color w:val="231F20"/>
          <w:spacing w:val="-18"/>
          <w:sz w:val="16"/>
        </w:rPr>
        <w:t> </w:t>
      </w:r>
      <w:r>
        <w:rPr>
          <w:color w:val="231F20"/>
          <w:sz w:val="16"/>
        </w:rPr>
        <w:t>think</w:t>
      </w:r>
      <w:r>
        <w:rPr>
          <w:color w:val="231F20"/>
          <w:spacing w:val="-19"/>
          <w:sz w:val="16"/>
        </w:rPr>
        <w:t> </w:t>
      </w:r>
      <w:r>
        <w:rPr>
          <w:color w:val="231F20"/>
          <w:sz w:val="16"/>
        </w:rPr>
        <w:t>a</w:t>
      </w:r>
      <w:r>
        <w:rPr>
          <w:color w:val="231F20"/>
          <w:spacing w:val="-19"/>
          <w:sz w:val="16"/>
        </w:rPr>
        <w:t> </w:t>
      </w:r>
      <w:r>
        <w:rPr>
          <w:color w:val="231F20"/>
          <w:sz w:val="16"/>
        </w:rPr>
        <w:t>court</w:t>
      </w:r>
      <w:r>
        <w:rPr>
          <w:color w:val="231F20"/>
          <w:spacing w:val="-18"/>
          <w:sz w:val="16"/>
        </w:rPr>
        <w:t> </w:t>
      </w:r>
      <w:r>
        <w:rPr>
          <w:color w:val="231F20"/>
          <w:sz w:val="16"/>
        </w:rPr>
        <w:t>can</w:t>
      </w:r>
      <w:r>
        <w:rPr>
          <w:color w:val="231F20"/>
          <w:spacing w:val="-19"/>
          <w:sz w:val="16"/>
        </w:rPr>
        <w:t> </w:t>
      </w:r>
      <w:r>
        <w:rPr>
          <w:color w:val="231F20"/>
          <w:sz w:val="16"/>
        </w:rPr>
        <w:t>reasonably</w:t>
      </w:r>
      <w:r>
        <w:rPr>
          <w:color w:val="231F20"/>
          <w:spacing w:val="-19"/>
          <w:sz w:val="16"/>
        </w:rPr>
        <w:t> </w:t>
      </w:r>
      <w:r>
        <w:rPr>
          <w:color w:val="231F20"/>
          <w:sz w:val="16"/>
        </w:rPr>
        <w:t>draw</w:t>
      </w:r>
      <w:r>
        <w:rPr>
          <w:color w:val="231F20"/>
          <w:spacing w:val="-18"/>
          <w:sz w:val="16"/>
        </w:rPr>
        <w:t> </w:t>
      </w:r>
      <w:r>
        <w:rPr>
          <w:color w:val="231F20"/>
          <w:sz w:val="16"/>
        </w:rPr>
        <w:t>the</w:t>
      </w:r>
      <w:r>
        <w:rPr>
          <w:color w:val="231F20"/>
          <w:spacing w:val="-19"/>
          <w:sz w:val="16"/>
        </w:rPr>
        <w:t> </w:t>
      </w:r>
      <w:r>
        <w:rPr>
          <w:color w:val="231F20"/>
          <w:sz w:val="16"/>
        </w:rPr>
        <w:t>line between a substitute teacher and another em- ployee,</w:t>
      </w:r>
      <w:r>
        <w:rPr>
          <w:color w:val="231F20"/>
          <w:spacing w:val="-8"/>
          <w:sz w:val="16"/>
        </w:rPr>
        <w:t> </w:t>
      </w:r>
      <w:r>
        <w:rPr>
          <w:color w:val="231F20"/>
          <w:sz w:val="16"/>
        </w:rPr>
        <w:t>say</w:t>
      </w:r>
      <w:r>
        <w:rPr>
          <w:color w:val="231F20"/>
          <w:spacing w:val="-8"/>
          <w:sz w:val="16"/>
        </w:rPr>
        <w:t> </w:t>
      </w:r>
      <w:r>
        <w:rPr>
          <w:color w:val="231F20"/>
          <w:sz w:val="16"/>
        </w:rPr>
        <w:t>a</w:t>
      </w:r>
      <w:r>
        <w:rPr>
          <w:color w:val="231F20"/>
          <w:spacing w:val="-7"/>
          <w:sz w:val="16"/>
        </w:rPr>
        <w:t> </w:t>
      </w:r>
      <w:r>
        <w:rPr>
          <w:color w:val="231F20"/>
          <w:sz w:val="16"/>
        </w:rPr>
        <w:t>janitor</w:t>
      </w:r>
      <w:r>
        <w:rPr>
          <w:color w:val="231F20"/>
          <w:spacing w:val="-8"/>
          <w:sz w:val="16"/>
        </w:rPr>
        <w:t> </w:t>
      </w:r>
      <w:r>
        <w:rPr>
          <w:color w:val="231F20"/>
          <w:sz w:val="16"/>
        </w:rPr>
        <w:t>who</w:t>
      </w:r>
      <w:r>
        <w:rPr>
          <w:color w:val="231F20"/>
          <w:spacing w:val="-8"/>
          <w:sz w:val="16"/>
        </w:rPr>
        <w:t> </w:t>
      </w:r>
      <w:r>
        <w:rPr>
          <w:color w:val="231F20"/>
          <w:sz w:val="16"/>
        </w:rPr>
        <w:t>simply</w:t>
      </w:r>
      <w:r>
        <w:rPr>
          <w:color w:val="231F20"/>
          <w:spacing w:val="-7"/>
          <w:sz w:val="16"/>
        </w:rPr>
        <w:t> </w:t>
      </w:r>
      <w:r>
        <w:rPr>
          <w:color w:val="231F20"/>
          <w:sz w:val="16"/>
        </w:rPr>
        <w:t>cleans</w:t>
      </w:r>
      <w:r>
        <w:rPr>
          <w:color w:val="231F20"/>
          <w:spacing w:val="-8"/>
          <w:sz w:val="16"/>
        </w:rPr>
        <w:t> </w:t>
      </w:r>
      <w:r>
        <w:rPr>
          <w:color w:val="231F20"/>
          <w:sz w:val="16"/>
        </w:rPr>
        <w:t>a</w:t>
      </w:r>
      <w:r>
        <w:rPr>
          <w:color w:val="231F20"/>
          <w:spacing w:val="-8"/>
          <w:sz w:val="16"/>
        </w:rPr>
        <w:t> </w:t>
      </w:r>
      <w:r>
        <w:rPr>
          <w:color w:val="231F20"/>
          <w:sz w:val="16"/>
        </w:rPr>
        <w:t>school building in the evening, whose responsibilities do</w:t>
      </w:r>
      <w:r>
        <w:rPr>
          <w:color w:val="231F20"/>
          <w:spacing w:val="-10"/>
          <w:sz w:val="16"/>
        </w:rPr>
        <w:t> </w:t>
      </w:r>
      <w:r>
        <w:rPr>
          <w:color w:val="231F20"/>
          <w:sz w:val="16"/>
        </w:rPr>
        <w:t>not</w:t>
      </w:r>
      <w:r>
        <w:rPr>
          <w:color w:val="231F20"/>
          <w:spacing w:val="-9"/>
          <w:sz w:val="16"/>
        </w:rPr>
        <w:t> </w:t>
      </w:r>
      <w:r>
        <w:rPr>
          <w:color w:val="231F20"/>
          <w:sz w:val="16"/>
        </w:rPr>
        <w:t>involve</w:t>
      </w:r>
      <w:r>
        <w:rPr>
          <w:color w:val="231F20"/>
          <w:spacing w:val="-9"/>
          <w:sz w:val="16"/>
        </w:rPr>
        <w:t> </w:t>
      </w:r>
      <w:r>
        <w:rPr>
          <w:color w:val="231F20"/>
          <w:sz w:val="16"/>
        </w:rPr>
        <w:t>safety</w:t>
      </w:r>
      <w:r>
        <w:rPr>
          <w:color w:val="231F20"/>
          <w:spacing w:val="-9"/>
          <w:sz w:val="16"/>
        </w:rPr>
        <w:t> </w:t>
      </w:r>
      <w:r>
        <w:rPr>
          <w:color w:val="231F20"/>
          <w:sz w:val="16"/>
        </w:rPr>
        <w:t>and</w:t>
      </w:r>
      <w:r>
        <w:rPr>
          <w:color w:val="231F20"/>
          <w:spacing w:val="-9"/>
          <w:sz w:val="16"/>
        </w:rPr>
        <w:t> </w:t>
      </w:r>
      <w:r>
        <w:rPr>
          <w:color w:val="231F20"/>
          <w:sz w:val="16"/>
        </w:rPr>
        <w:t>security,</w:t>
      </w:r>
      <w:r>
        <w:rPr>
          <w:color w:val="231F20"/>
          <w:spacing w:val="-9"/>
          <w:sz w:val="16"/>
        </w:rPr>
        <w:t> </w:t>
      </w:r>
      <w:r>
        <w:rPr>
          <w:color w:val="231F20"/>
          <w:sz w:val="16"/>
        </w:rPr>
        <w:t>relate</w:t>
      </w:r>
      <w:r>
        <w:rPr>
          <w:color w:val="231F20"/>
          <w:spacing w:val="-9"/>
          <w:sz w:val="16"/>
        </w:rPr>
        <w:t> </w:t>
      </w:r>
      <w:r>
        <w:rPr>
          <w:color w:val="231F20"/>
          <w:sz w:val="16"/>
        </w:rPr>
        <w:t>far</w:t>
      </w:r>
      <w:r>
        <w:rPr>
          <w:color w:val="231F20"/>
          <w:spacing w:val="-10"/>
          <w:sz w:val="16"/>
        </w:rPr>
        <w:t> </w:t>
      </w:r>
      <w:r>
        <w:rPr>
          <w:color w:val="231F20"/>
          <w:sz w:val="16"/>
        </w:rPr>
        <w:t>less directly to students, involve profoundly different risks,</w:t>
      </w:r>
      <w:r>
        <w:rPr>
          <w:color w:val="231F20"/>
          <w:spacing w:val="-29"/>
          <w:sz w:val="16"/>
        </w:rPr>
        <w:t> </w:t>
      </w:r>
      <w:r>
        <w:rPr>
          <w:color w:val="231F20"/>
          <w:sz w:val="16"/>
        </w:rPr>
        <w:t>or</w:t>
      </w:r>
      <w:r>
        <w:rPr>
          <w:color w:val="231F20"/>
          <w:spacing w:val="-29"/>
          <w:sz w:val="16"/>
        </w:rPr>
        <w:t> </w:t>
      </w:r>
      <w:r>
        <w:rPr>
          <w:color w:val="231F20"/>
          <w:sz w:val="16"/>
        </w:rPr>
        <w:t>implicate</w:t>
      </w:r>
      <w:r>
        <w:rPr>
          <w:color w:val="231F20"/>
          <w:spacing w:val="-29"/>
          <w:sz w:val="16"/>
        </w:rPr>
        <w:t> </w:t>
      </w:r>
      <w:r>
        <w:rPr>
          <w:color w:val="231F20"/>
          <w:sz w:val="16"/>
        </w:rPr>
        <w:t>more</w:t>
      </w:r>
      <w:r>
        <w:rPr>
          <w:color w:val="231F20"/>
          <w:spacing w:val="-28"/>
          <w:sz w:val="16"/>
        </w:rPr>
        <w:t> </w:t>
      </w:r>
      <w:r>
        <w:rPr>
          <w:color w:val="231F20"/>
          <w:sz w:val="16"/>
        </w:rPr>
        <w:t>persuasive</w:t>
      </w:r>
      <w:r>
        <w:rPr>
          <w:color w:val="231F20"/>
          <w:spacing w:val="-29"/>
          <w:sz w:val="16"/>
        </w:rPr>
        <w:t> </w:t>
      </w:r>
      <w:r>
        <w:rPr>
          <w:color w:val="231F20"/>
          <w:sz w:val="16"/>
        </w:rPr>
        <w:t>countervailing concerns.” </w:t>
      </w:r>
      <w:r>
        <w:rPr>
          <w:i/>
          <w:color w:val="231F20"/>
          <w:sz w:val="16"/>
        </w:rPr>
        <w:t>Id. </w:t>
      </w:r>
      <w:r>
        <w:rPr>
          <w:color w:val="231F20"/>
          <w:sz w:val="16"/>
        </w:rPr>
        <w:t>at</w:t>
      </w:r>
      <w:r>
        <w:rPr>
          <w:color w:val="231F20"/>
          <w:spacing w:val="-1"/>
          <w:sz w:val="16"/>
        </w:rPr>
        <w:t> </w:t>
      </w:r>
      <w:r>
        <w:rPr>
          <w:color w:val="231F20"/>
          <w:spacing w:val="-4"/>
          <w:sz w:val="16"/>
        </w:rPr>
        <w:t>1104.</w:t>
      </w:r>
    </w:p>
    <w:p>
      <w:pPr>
        <w:spacing w:after="0" w:line="264" w:lineRule="auto"/>
        <w:jc w:val="both"/>
        <w:rPr>
          <w:sz w:val="16"/>
        </w:rPr>
        <w:sectPr>
          <w:headerReference w:type="default" r:id="rId67"/>
          <w:footerReference w:type="default" r:id="rId68"/>
          <w:pgSz w:w="12240" w:h="15840"/>
          <w:pgMar w:header="0" w:footer="558" w:top="840" w:bottom="740" w:left="720" w:right="540"/>
          <w:pgNumType w:start="10"/>
          <w:cols w:num="3" w:equalWidth="0">
            <w:col w:w="3530" w:space="70"/>
            <w:col w:w="3547" w:space="53"/>
            <w:col w:w="3780"/>
          </w:cols>
        </w:sectPr>
      </w:pPr>
    </w:p>
    <w:p>
      <w:pPr>
        <w:pStyle w:val="BodyText"/>
        <w:spacing w:line="20" w:lineRule="exact"/>
        <w:ind w:left="110"/>
        <w:rPr>
          <w:sz w:val="2"/>
        </w:rPr>
      </w:pPr>
      <w:r>
        <w:rPr>
          <w:sz w:val="2"/>
        </w:rPr>
        <w:pict>
          <v:group style="width:528pt;height:1pt;mso-position-horizontal-relative:char;mso-position-vertical-relative:line" coordorigin="0,0" coordsize="10560,20">
            <v:line style="position:absolute" from="0,10" to="10560,10" stroked="true" strokeweight="1pt" strokecolor="#231f20">
              <v:stroke dashstyle="solid"/>
            </v:line>
          </v:group>
        </w:pict>
      </w:r>
      <w:r>
        <w:rPr>
          <w:sz w:val="2"/>
        </w:rPr>
      </w:r>
    </w:p>
    <w:p>
      <w:pPr>
        <w:spacing w:before="98"/>
        <w:ind w:left="120" w:right="0" w:firstLine="0"/>
        <w:jc w:val="left"/>
        <w:rPr>
          <w:i/>
          <w:sz w:val="20"/>
        </w:rPr>
      </w:pPr>
      <w:r>
        <w:rPr/>
        <w:pict>
          <v:shape style="position:absolute;margin-left:42pt;margin-top:22.279909pt;width:528pt;height:.1pt;mso-position-horizontal-relative:page;mso-position-vertical-relative:paragraph;z-index:-251549696;mso-wrap-distance-left:0;mso-wrap-distance-right:0" coordorigin="840,446" coordsize="10560,0" path="m840,446l11400,446e" filled="false" stroked="true" strokeweight="2pt" strokecolor="#231f20">
            <v:path arrowok="t"/>
            <v:stroke dashstyle="solid"/>
            <w10:wrap type="topAndBottom"/>
          </v:shape>
        </w:pict>
      </w:r>
      <w:r>
        <w:rPr>
          <w:b/>
          <w:color w:val="0076BF"/>
          <w:sz w:val="20"/>
        </w:rPr>
        <w:t>IT SAyS WHAT IT SAyS, </w:t>
      </w:r>
      <w:r>
        <w:rPr>
          <w:i/>
          <w:color w:val="0076BF"/>
          <w:sz w:val="20"/>
        </w:rPr>
        <w:t>continued from page 1</w:t>
      </w:r>
    </w:p>
    <w:p>
      <w:pPr>
        <w:pStyle w:val="BodyText"/>
        <w:spacing w:before="8"/>
        <w:rPr>
          <w:i/>
          <w:sz w:val="14"/>
        </w:rPr>
      </w:pPr>
    </w:p>
    <w:p>
      <w:pPr>
        <w:spacing w:after="0"/>
        <w:rPr>
          <w:sz w:val="14"/>
        </w:rPr>
        <w:sectPr>
          <w:headerReference w:type="default" r:id="rId70"/>
          <w:footerReference w:type="default" r:id="rId71"/>
          <w:pgSz w:w="12240" w:h="15840"/>
          <w:pgMar w:header="0" w:footer="558" w:top="960" w:bottom="740" w:left="720" w:right="540"/>
          <w:pgNumType w:start="11"/>
        </w:sectPr>
      </w:pPr>
    </w:p>
    <w:p>
      <w:pPr>
        <w:pStyle w:val="BodyText"/>
        <w:spacing w:line="254" w:lineRule="auto" w:before="94"/>
        <w:ind w:left="120" w:right="38"/>
        <w:jc w:val="both"/>
      </w:pPr>
      <w:r>
        <w:rPr>
          <w:color w:val="231F20"/>
        </w:rPr>
        <w:t>as</w:t>
      </w:r>
      <w:r>
        <w:rPr>
          <w:color w:val="231F20"/>
          <w:spacing w:val="-13"/>
        </w:rPr>
        <w:t> </w:t>
      </w:r>
      <w:r>
        <w:rPr>
          <w:color w:val="231F20"/>
        </w:rPr>
        <w:t>courts</w:t>
      </w:r>
      <w:r>
        <w:rPr>
          <w:color w:val="231F20"/>
          <w:spacing w:val="-12"/>
        </w:rPr>
        <w:t> </w:t>
      </w:r>
      <w:r>
        <w:rPr>
          <w:color w:val="231F20"/>
        </w:rPr>
        <w:t>are</w:t>
      </w:r>
      <w:r>
        <w:rPr>
          <w:color w:val="231F20"/>
          <w:spacing w:val="-13"/>
        </w:rPr>
        <w:t> </w:t>
      </w:r>
      <w:r>
        <w:rPr>
          <w:color w:val="231F20"/>
        </w:rPr>
        <w:t>quick</w:t>
      </w:r>
      <w:r>
        <w:rPr>
          <w:color w:val="231F20"/>
          <w:spacing w:val="-12"/>
        </w:rPr>
        <w:t> </w:t>
      </w:r>
      <w:r>
        <w:rPr>
          <w:color w:val="231F20"/>
        </w:rPr>
        <w:t>to</w:t>
      </w:r>
      <w:r>
        <w:rPr>
          <w:color w:val="231F20"/>
          <w:spacing w:val="-12"/>
        </w:rPr>
        <w:t> </w:t>
      </w:r>
      <w:r>
        <w:rPr>
          <w:color w:val="231F20"/>
        </w:rPr>
        <w:t>deny</w:t>
      </w:r>
      <w:r>
        <w:rPr>
          <w:color w:val="231F20"/>
          <w:spacing w:val="-13"/>
        </w:rPr>
        <w:t> </w:t>
      </w:r>
      <w:r>
        <w:rPr>
          <w:color w:val="231F20"/>
        </w:rPr>
        <w:t>motions</w:t>
      </w:r>
      <w:r>
        <w:rPr>
          <w:color w:val="231F20"/>
          <w:spacing w:val="-12"/>
        </w:rPr>
        <w:t> </w:t>
      </w:r>
      <w:r>
        <w:rPr>
          <w:color w:val="231F20"/>
        </w:rPr>
        <w:t>for attorneys’ fees for anything less than perfect compliance with the rule and the statute. The strict requirements </w:t>
      </w:r>
      <w:r>
        <w:rPr>
          <w:color w:val="231F20"/>
          <w:spacing w:val="-7"/>
        </w:rPr>
        <w:t>of </w:t>
      </w:r>
      <w:r>
        <w:rPr>
          <w:color w:val="231F20"/>
          <w:spacing w:val="-3"/>
        </w:rPr>
        <w:t>Section</w:t>
      </w:r>
      <w:r>
        <w:rPr>
          <w:color w:val="231F20"/>
          <w:spacing w:val="-19"/>
        </w:rPr>
        <w:t> </w:t>
      </w:r>
      <w:r>
        <w:rPr>
          <w:color w:val="231F20"/>
          <w:spacing w:val="-3"/>
        </w:rPr>
        <w:t>768.79</w:t>
      </w:r>
      <w:r>
        <w:rPr>
          <w:color w:val="231F20"/>
          <w:spacing w:val="-19"/>
        </w:rPr>
        <w:t> </w:t>
      </w:r>
      <w:r>
        <w:rPr>
          <w:color w:val="231F20"/>
        </w:rPr>
        <w:t>and</w:t>
      </w:r>
      <w:r>
        <w:rPr>
          <w:color w:val="231F20"/>
          <w:spacing w:val="-19"/>
        </w:rPr>
        <w:t> </w:t>
      </w:r>
      <w:r>
        <w:rPr>
          <w:color w:val="231F20"/>
          <w:spacing w:val="-3"/>
        </w:rPr>
        <w:t>rule</w:t>
      </w:r>
      <w:r>
        <w:rPr>
          <w:color w:val="231F20"/>
          <w:spacing w:val="-19"/>
        </w:rPr>
        <w:t> </w:t>
      </w:r>
      <w:r>
        <w:rPr>
          <w:color w:val="231F20"/>
          <w:spacing w:val="-3"/>
        </w:rPr>
        <w:t>1.442</w:t>
      </w:r>
      <w:r>
        <w:rPr>
          <w:color w:val="231F20"/>
          <w:spacing w:val="-19"/>
        </w:rPr>
        <w:t> </w:t>
      </w:r>
      <w:r>
        <w:rPr>
          <w:color w:val="231F20"/>
        </w:rPr>
        <w:t>set</w:t>
      </w:r>
      <w:r>
        <w:rPr>
          <w:color w:val="231F20"/>
          <w:spacing w:val="-19"/>
        </w:rPr>
        <w:t> </w:t>
      </w:r>
      <w:r>
        <w:rPr>
          <w:color w:val="231F20"/>
          <w:spacing w:val="-3"/>
        </w:rPr>
        <w:t>many </w:t>
      </w:r>
      <w:r>
        <w:rPr>
          <w:color w:val="231F20"/>
        </w:rPr>
        <w:t>traps for the unwary. On January 4, 2019, however, the Florida Supreme Court removed at least one</w:t>
      </w:r>
      <w:r>
        <w:rPr>
          <w:color w:val="231F20"/>
          <w:spacing w:val="-8"/>
        </w:rPr>
        <w:t> </w:t>
      </w:r>
      <w:r>
        <w:rPr>
          <w:color w:val="231F20"/>
        </w:rPr>
        <w:t>trap.</w:t>
      </w:r>
    </w:p>
    <w:p>
      <w:pPr>
        <w:pStyle w:val="BodyText"/>
        <w:spacing w:line="254" w:lineRule="auto"/>
        <w:ind w:left="119" w:right="41" w:firstLine="180"/>
        <w:jc w:val="both"/>
        <w:rPr>
          <w:i/>
        </w:rPr>
      </w:pPr>
      <w:r>
        <w:rPr>
          <w:color w:val="231F20"/>
        </w:rPr>
        <w:t>In </w:t>
      </w:r>
      <w:r>
        <w:rPr>
          <w:i/>
          <w:color w:val="231F20"/>
        </w:rPr>
        <w:t>Wheaton </w:t>
      </w:r>
      <w:r>
        <w:rPr>
          <w:i/>
          <w:color w:val="231F20"/>
          <w:spacing w:val="-8"/>
        </w:rPr>
        <w:t>v. </w:t>
      </w:r>
      <w:r>
        <w:rPr>
          <w:i/>
          <w:color w:val="231F20"/>
        </w:rPr>
        <w:t>Wheaton,</w:t>
      </w:r>
      <w:r>
        <w:rPr>
          <w:color w:val="231F20"/>
          <w:position w:val="7"/>
          <w:sz w:val="12"/>
        </w:rPr>
        <w:t>3 </w:t>
      </w:r>
      <w:r>
        <w:rPr>
          <w:color w:val="231F20"/>
        </w:rPr>
        <w:t>an opinion authored by Justice Quince, Florida’s highest court resolved a district split created by the Third District Court of Appeal’s</w:t>
      </w:r>
      <w:r>
        <w:rPr>
          <w:color w:val="231F20"/>
          <w:spacing w:val="-20"/>
        </w:rPr>
        <w:t> </w:t>
      </w:r>
      <w:r>
        <w:rPr>
          <w:color w:val="231F20"/>
        </w:rPr>
        <w:t>decision</w:t>
      </w:r>
      <w:r>
        <w:rPr>
          <w:color w:val="231F20"/>
          <w:spacing w:val="-20"/>
        </w:rPr>
        <w:t> </w:t>
      </w:r>
      <w:r>
        <w:rPr>
          <w:color w:val="231F20"/>
        </w:rPr>
        <w:t>in</w:t>
      </w:r>
      <w:r>
        <w:rPr>
          <w:color w:val="231F20"/>
          <w:spacing w:val="-19"/>
        </w:rPr>
        <w:t> </w:t>
      </w:r>
      <w:r>
        <w:rPr>
          <w:i/>
          <w:color w:val="231F20"/>
        </w:rPr>
        <w:t>Wheaton</w:t>
      </w:r>
      <w:r>
        <w:rPr>
          <w:i/>
          <w:color w:val="231F20"/>
          <w:spacing w:val="-20"/>
        </w:rPr>
        <w:t> </w:t>
      </w:r>
      <w:r>
        <w:rPr>
          <w:i/>
          <w:color w:val="231F20"/>
          <w:spacing w:val="-8"/>
        </w:rPr>
        <w:t>v.</w:t>
      </w:r>
      <w:r>
        <w:rPr>
          <w:i/>
          <w:color w:val="231F20"/>
          <w:spacing w:val="-19"/>
        </w:rPr>
        <w:t> </w:t>
      </w:r>
      <w:r>
        <w:rPr>
          <w:i/>
          <w:color w:val="231F20"/>
          <w:spacing w:val="-4"/>
        </w:rPr>
        <w:t>Whea-</w:t>
      </w:r>
    </w:p>
    <w:p>
      <w:pPr>
        <w:spacing w:line="254" w:lineRule="auto" w:before="94"/>
        <w:ind w:left="119" w:right="45" w:firstLine="0"/>
        <w:jc w:val="both"/>
        <w:rPr>
          <w:i/>
          <w:sz w:val="20"/>
        </w:rPr>
      </w:pPr>
      <w:r>
        <w:rPr/>
        <w:br w:type="column"/>
      </w:r>
      <w:r>
        <w:rPr>
          <w:i/>
          <w:color w:val="231F20"/>
          <w:sz w:val="20"/>
        </w:rPr>
        <w:t>ton</w:t>
      </w:r>
      <w:r>
        <w:rPr>
          <w:color w:val="231F20"/>
          <w:position w:val="7"/>
          <w:sz w:val="12"/>
        </w:rPr>
        <w:t>4 </w:t>
      </w:r>
      <w:r>
        <w:rPr>
          <w:color w:val="231F20"/>
          <w:sz w:val="20"/>
        </w:rPr>
        <w:t>and the Second District’s</w:t>
      </w:r>
      <w:r>
        <w:rPr>
          <w:color w:val="231F20"/>
          <w:spacing w:val="-39"/>
          <w:sz w:val="20"/>
        </w:rPr>
        <w:t> </w:t>
      </w:r>
      <w:r>
        <w:rPr>
          <w:color w:val="231F20"/>
          <w:sz w:val="20"/>
        </w:rPr>
        <w:t>decision in</w:t>
      </w:r>
      <w:r>
        <w:rPr>
          <w:color w:val="231F20"/>
          <w:spacing w:val="-12"/>
          <w:sz w:val="20"/>
        </w:rPr>
        <w:t> </w:t>
      </w:r>
      <w:r>
        <w:rPr>
          <w:i/>
          <w:color w:val="231F20"/>
          <w:sz w:val="20"/>
        </w:rPr>
        <w:t>Boatright</w:t>
      </w:r>
      <w:r>
        <w:rPr>
          <w:i/>
          <w:color w:val="231F20"/>
          <w:spacing w:val="-11"/>
          <w:sz w:val="20"/>
        </w:rPr>
        <w:t> </w:t>
      </w:r>
      <w:r>
        <w:rPr>
          <w:i/>
          <w:color w:val="231F20"/>
          <w:spacing w:val="-8"/>
          <w:sz w:val="20"/>
        </w:rPr>
        <w:t>v.</w:t>
      </w:r>
      <w:r>
        <w:rPr>
          <w:i/>
          <w:color w:val="231F20"/>
          <w:spacing w:val="-12"/>
          <w:sz w:val="20"/>
        </w:rPr>
        <w:t> </w:t>
      </w:r>
      <w:r>
        <w:rPr>
          <w:i/>
          <w:color w:val="231F20"/>
          <w:sz w:val="20"/>
        </w:rPr>
        <w:t>Phillip</w:t>
      </w:r>
      <w:r>
        <w:rPr>
          <w:i/>
          <w:color w:val="231F20"/>
          <w:spacing w:val="-11"/>
          <w:sz w:val="20"/>
        </w:rPr>
        <w:t> </w:t>
      </w:r>
      <w:r>
        <w:rPr>
          <w:i/>
          <w:color w:val="231F20"/>
          <w:sz w:val="20"/>
        </w:rPr>
        <w:t>Morris</w:t>
      </w:r>
      <w:r>
        <w:rPr>
          <w:i/>
          <w:color w:val="231F20"/>
          <w:spacing w:val="-12"/>
          <w:sz w:val="20"/>
        </w:rPr>
        <w:t> </w:t>
      </w:r>
      <w:r>
        <w:rPr>
          <w:i/>
          <w:color w:val="231F20"/>
          <w:sz w:val="20"/>
        </w:rPr>
        <w:t>USA,</w:t>
      </w:r>
      <w:r>
        <w:rPr>
          <w:i/>
          <w:color w:val="231F20"/>
          <w:spacing w:val="-11"/>
          <w:sz w:val="20"/>
        </w:rPr>
        <w:t> </w:t>
      </w:r>
      <w:r>
        <w:rPr>
          <w:i/>
          <w:color w:val="231F20"/>
          <w:spacing w:val="-3"/>
          <w:sz w:val="20"/>
        </w:rPr>
        <w:t>Inc.,</w:t>
      </w:r>
      <w:r>
        <w:rPr>
          <w:color w:val="231F20"/>
          <w:spacing w:val="-3"/>
          <w:position w:val="7"/>
          <w:sz w:val="12"/>
        </w:rPr>
        <w:t>5 </w:t>
      </w:r>
      <w:r>
        <w:rPr>
          <w:color w:val="231F20"/>
          <w:sz w:val="20"/>
        </w:rPr>
        <w:t>the</w:t>
      </w:r>
      <w:r>
        <w:rPr>
          <w:color w:val="231F20"/>
          <w:spacing w:val="-12"/>
          <w:sz w:val="20"/>
        </w:rPr>
        <w:t> </w:t>
      </w:r>
      <w:r>
        <w:rPr>
          <w:color w:val="231F20"/>
          <w:sz w:val="20"/>
        </w:rPr>
        <w:t>Fourth</w:t>
      </w:r>
      <w:r>
        <w:rPr>
          <w:color w:val="231F20"/>
          <w:spacing w:val="-12"/>
          <w:sz w:val="20"/>
        </w:rPr>
        <w:t> </w:t>
      </w:r>
      <w:r>
        <w:rPr>
          <w:color w:val="231F20"/>
          <w:sz w:val="20"/>
        </w:rPr>
        <w:t>District’s</w:t>
      </w:r>
      <w:r>
        <w:rPr>
          <w:color w:val="231F20"/>
          <w:spacing w:val="-12"/>
          <w:sz w:val="20"/>
        </w:rPr>
        <w:t> </w:t>
      </w:r>
      <w:r>
        <w:rPr>
          <w:color w:val="231F20"/>
          <w:sz w:val="20"/>
        </w:rPr>
        <w:t>decision</w:t>
      </w:r>
      <w:r>
        <w:rPr>
          <w:color w:val="231F20"/>
          <w:spacing w:val="-12"/>
          <w:sz w:val="20"/>
        </w:rPr>
        <w:t> </w:t>
      </w:r>
      <w:r>
        <w:rPr>
          <w:color w:val="231F20"/>
          <w:sz w:val="20"/>
        </w:rPr>
        <w:t>in</w:t>
      </w:r>
      <w:r>
        <w:rPr>
          <w:color w:val="231F20"/>
          <w:spacing w:val="-12"/>
          <w:sz w:val="20"/>
        </w:rPr>
        <w:t> </w:t>
      </w:r>
      <w:r>
        <w:rPr>
          <w:i/>
          <w:color w:val="231F20"/>
          <w:sz w:val="20"/>
        </w:rPr>
        <w:t>McCoy</w:t>
      </w:r>
    </w:p>
    <w:p>
      <w:pPr>
        <w:pStyle w:val="ListParagraph"/>
        <w:numPr>
          <w:ilvl w:val="0"/>
          <w:numId w:val="3"/>
        </w:numPr>
        <w:tabs>
          <w:tab w:pos="354" w:val="left" w:leader="none"/>
        </w:tabs>
        <w:spacing w:line="254" w:lineRule="auto" w:before="0" w:after="0"/>
        <w:ind w:left="119" w:right="38" w:firstLine="0"/>
        <w:jc w:val="both"/>
        <w:rPr>
          <w:sz w:val="20"/>
        </w:rPr>
      </w:pPr>
      <w:r>
        <w:rPr>
          <w:i/>
          <w:color w:val="231F20"/>
          <w:sz w:val="20"/>
        </w:rPr>
        <w:t>R.J. Reynolds Tobacco Co.,</w:t>
      </w:r>
      <w:r>
        <w:rPr>
          <w:color w:val="231F20"/>
          <w:position w:val="7"/>
          <w:sz w:val="12"/>
        </w:rPr>
        <w:t>6 </w:t>
      </w:r>
      <w:r>
        <w:rPr>
          <w:color w:val="231F20"/>
          <w:spacing w:val="2"/>
          <w:sz w:val="20"/>
        </w:rPr>
        <w:t>and </w:t>
      </w:r>
      <w:r>
        <w:rPr>
          <w:color w:val="231F20"/>
          <w:sz w:val="20"/>
        </w:rPr>
        <w:t>the</w:t>
      </w:r>
      <w:r>
        <w:rPr>
          <w:color w:val="231F20"/>
          <w:spacing w:val="-16"/>
          <w:sz w:val="20"/>
        </w:rPr>
        <w:t> </w:t>
      </w:r>
      <w:r>
        <w:rPr>
          <w:color w:val="231F20"/>
          <w:sz w:val="20"/>
        </w:rPr>
        <w:t>First</w:t>
      </w:r>
      <w:r>
        <w:rPr>
          <w:color w:val="231F20"/>
          <w:spacing w:val="-16"/>
          <w:sz w:val="20"/>
        </w:rPr>
        <w:t> </w:t>
      </w:r>
      <w:r>
        <w:rPr>
          <w:color w:val="231F20"/>
          <w:sz w:val="20"/>
        </w:rPr>
        <w:t>District’s</w:t>
      </w:r>
      <w:r>
        <w:rPr>
          <w:color w:val="231F20"/>
          <w:spacing w:val="-15"/>
          <w:sz w:val="20"/>
        </w:rPr>
        <w:t> </w:t>
      </w:r>
      <w:r>
        <w:rPr>
          <w:color w:val="231F20"/>
          <w:sz w:val="20"/>
        </w:rPr>
        <w:t>decision</w:t>
      </w:r>
      <w:r>
        <w:rPr>
          <w:color w:val="231F20"/>
          <w:spacing w:val="-16"/>
          <w:sz w:val="20"/>
        </w:rPr>
        <w:t> </w:t>
      </w:r>
      <w:r>
        <w:rPr>
          <w:color w:val="231F20"/>
          <w:sz w:val="20"/>
        </w:rPr>
        <w:t>in</w:t>
      </w:r>
      <w:r>
        <w:rPr>
          <w:color w:val="231F20"/>
          <w:spacing w:val="-15"/>
          <w:sz w:val="20"/>
        </w:rPr>
        <w:t> </w:t>
      </w:r>
      <w:r>
        <w:rPr>
          <w:i/>
          <w:color w:val="231F20"/>
          <w:sz w:val="20"/>
        </w:rPr>
        <w:t>Oldcastle </w:t>
      </w:r>
      <w:r>
        <w:rPr>
          <w:i/>
          <w:color w:val="231F20"/>
          <w:spacing w:val="5"/>
          <w:sz w:val="20"/>
        </w:rPr>
        <w:t>Southern Group, </w:t>
      </w:r>
      <w:r>
        <w:rPr>
          <w:i/>
          <w:color w:val="231F20"/>
          <w:spacing w:val="4"/>
          <w:sz w:val="20"/>
        </w:rPr>
        <w:t>Inc., </w:t>
      </w:r>
      <w:r>
        <w:rPr>
          <w:i/>
          <w:color w:val="231F20"/>
          <w:spacing w:val="-5"/>
          <w:sz w:val="20"/>
        </w:rPr>
        <w:t>v. </w:t>
      </w:r>
      <w:r>
        <w:rPr>
          <w:i/>
          <w:color w:val="231F20"/>
          <w:spacing w:val="6"/>
          <w:sz w:val="20"/>
        </w:rPr>
        <w:t>Railworks </w:t>
      </w:r>
      <w:r>
        <w:rPr>
          <w:i/>
          <w:color w:val="231F20"/>
          <w:spacing w:val="-3"/>
          <w:sz w:val="20"/>
        </w:rPr>
        <w:t>Track </w:t>
      </w:r>
      <w:r>
        <w:rPr>
          <w:i/>
          <w:color w:val="231F20"/>
          <w:sz w:val="20"/>
        </w:rPr>
        <w:t>Systems, Inc.</w:t>
      </w:r>
      <w:r>
        <w:rPr>
          <w:color w:val="231F20"/>
          <w:position w:val="7"/>
          <w:sz w:val="12"/>
        </w:rPr>
        <w:t>7 </w:t>
      </w:r>
      <w:r>
        <w:rPr>
          <w:color w:val="231F20"/>
          <w:sz w:val="20"/>
        </w:rPr>
        <w:t>The Third District </w:t>
      </w:r>
      <w:r>
        <w:rPr>
          <w:color w:val="231F20"/>
          <w:spacing w:val="-3"/>
          <w:sz w:val="20"/>
        </w:rPr>
        <w:t>split</w:t>
      </w:r>
      <w:r>
        <w:rPr>
          <w:color w:val="231F20"/>
          <w:spacing w:val="-19"/>
          <w:sz w:val="20"/>
        </w:rPr>
        <w:t> </w:t>
      </w:r>
      <w:r>
        <w:rPr>
          <w:color w:val="231F20"/>
          <w:spacing w:val="-3"/>
          <w:sz w:val="20"/>
        </w:rPr>
        <w:t>from</w:t>
      </w:r>
      <w:r>
        <w:rPr>
          <w:color w:val="231F20"/>
          <w:spacing w:val="-19"/>
          <w:sz w:val="20"/>
        </w:rPr>
        <w:t> </w:t>
      </w:r>
      <w:r>
        <w:rPr>
          <w:color w:val="231F20"/>
          <w:sz w:val="20"/>
        </w:rPr>
        <w:t>the</w:t>
      </w:r>
      <w:r>
        <w:rPr>
          <w:color w:val="231F20"/>
          <w:spacing w:val="-19"/>
          <w:sz w:val="20"/>
        </w:rPr>
        <w:t> </w:t>
      </w:r>
      <w:r>
        <w:rPr>
          <w:color w:val="231F20"/>
          <w:spacing w:val="-3"/>
          <w:sz w:val="20"/>
        </w:rPr>
        <w:t>other</w:t>
      </w:r>
      <w:r>
        <w:rPr>
          <w:color w:val="231F20"/>
          <w:spacing w:val="-19"/>
          <w:sz w:val="20"/>
        </w:rPr>
        <w:t> </w:t>
      </w:r>
      <w:r>
        <w:rPr>
          <w:color w:val="231F20"/>
          <w:spacing w:val="-3"/>
          <w:sz w:val="20"/>
        </w:rPr>
        <w:t>districts</w:t>
      </w:r>
      <w:r>
        <w:rPr>
          <w:color w:val="231F20"/>
          <w:spacing w:val="-19"/>
          <w:sz w:val="20"/>
        </w:rPr>
        <w:t> </w:t>
      </w:r>
      <w:r>
        <w:rPr>
          <w:color w:val="231F20"/>
          <w:sz w:val="20"/>
        </w:rPr>
        <w:t>on</w:t>
      </w:r>
      <w:r>
        <w:rPr>
          <w:color w:val="231F20"/>
          <w:spacing w:val="-19"/>
          <w:sz w:val="20"/>
        </w:rPr>
        <w:t> </w:t>
      </w:r>
      <w:r>
        <w:rPr>
          <w:color w:val="231F20"/>
          <w:sz w:val="20"/>
        </w:rPr>
        <w:t>the</w:t>
      </w:r>
      <w:r>
        <w:rPr>
          <w:color w:val="231F20"/>
          <w:spacing w:val="-19"/>
          <w:sz w:val="20"/>
        </w:rPr>
        <w:t> </w:t>
      </w:r>
      <w:r>
        <w:rPr>
          <w:color w:val="231F20"/>
          <w:spacing w:val="-3"/>
          <w:sz w:val="20"/>
        </w:rPr>
        <w:t>ques- </w:t>
      </w:r>
      <w:r>
        <w:rPr>
          <w:color w:val="231F20"/>
          <w:sz w:val="20"/>
        </w:rPr>
        <w:t>tion</w:t>
      </w:r>
      <w:r>
        <w:rPr>
          <w:color w:val="231F20"/>
          <w:spacing w:val="-29"/>
          <w:sz w:val="20"/>
        </w:rPr>
        <w:t> </w:t>
      </w:r>
      <w:r>
        <w:rPr>
          <w:color w:val="231F20"/>
          <w:sz w:val="20"/>
        </w:rPr>
        <w:t>of</w:t>
      </w:r>
      <w:r>
        <w:rPr>
          <w:color w:val="231F20"/>
          <w:spacing w:val="-29"/>
          <w:sz w:val="20"/>
        </w:rPr>
        <w:t> </w:t>
      </w:r>
      <w:r>
        <w:rPr>
          <w:color w:val="231F20"/>
          <w:sz w:val="20"/>
        </w:rPr>
        <w:t>whether</w:t>
      </w:r>
      <w:r>
        <w:rPr>
          <w:color w:val="231F20"/>
          <w:spacing w:val="-29"/>
          <w:sz w:val="20"/>
        </w:rPr>
        <w:t> </w:t>
      </w:r>
      <w:r>
        <w:rPr>
          <w:color w:val="231F20"/>
          <w:sz w:val="20"/>
        </w:rPr>
        <w:t>proposals</w:t>
      </w:r>
      <w:r>
        <w:rPr>
          <w:color w:val="231F20"/>
          <w:spacing w:val="-29"/>
          <w:sz w:val="20"/>
        </w:rPr>
        <w:t> </w:t>
      </w:r>
      <w:r>
        <w:rPr>
          <w:color w:val="231F20"/>
          <w:sz w:val="20"/>
        </w:rPr>
        <w:t>for</w:t>
      </w:r>
      <w:r>
        <w:rPr>
          <w:color w:val="231F20"/>
          <w:spacing w:val="-29"/>
          <w:sz w:val="20"/>
        </w:rPr>
        <w:t> </w:t>
      </w:r>
      <w:r>
        <w:rPr>
          <w:color w:val="231F20"/>
          <w:sz w:val="20"/>
        </w:rPr>
        <w:t>settlement under section 768.79 and rule 1.442 must comply with the e-mail service provisions of rule 2.516 of the Florida Rules of Judicial</w:t>
      </w:r>
      <w:r>
        <w:rPr>
          <w:color w:val="231F20"/>
          <w:spacing w:val="41"/>
          <w:sz w:val="20"/>
        </w:rPr>
        <w:t> </w:t>
      </w:r>
      <w:r>
        <w:rPr>
          <w:color w:val="231F20"/>
          <w:sz w:val="20"/>
        </w:rPr>
        <w:t>Administration.</w:t>
      </w:r>
      <w:r>
        <w:rPr>
          <w:color w:val="231F20"/>
          <w:position w:val="7"/>
          <w:sz w:val="12"/>
        </w:rPr>
        <w:t>8  </w:t>
      </w:r>
      <w:r>
        <w:rPr>
          <w:color w:val="231F20"/>
          <w:sz w:val="20"/>
        </w:rPr>
        <w:t>The</w:t>
      </w:r>
    </w:p>
    <w:p>
      <w:pPr>
        <w:pStyle w:val="BodyText"/>
        <w:spacing w:line="266" w:lineRule="auto" w:before="94"/>
        <w:ind w:left="119" w:right="297"/>
        <w:jc w:val="both"/>
      </w:pPr>
      <w:r>
        <w:rPr/>
        <w:br w:type="column"/>
      </w:r>
      <w:r>
        <w:rPr>
          <w:color w:val="231F20"/>
        </w:rPr>
        <w:t>Florida Supreme Court answered this question in the negative, holding that the plain language of section 768.79 and</w:t>
      </w:r>
      <w:r>
        <w:rPr>
          <w:color w:val="231F20"/>
          <w:spacing w:val="-25"/>
        </w:rPr>
        <w:t> </w:t>
      </w:r>
      <w:r>
        <w:rPr>
          <w:color w:val="231F20"/>
        </w:rPr>
        <w:t>rule</w:t>
      </w:r>
      <w:r>
        <w:rPr>
          <w:color w:val="231F20"/>
          <w:spacing w:val="-25"/>
        </w:rPr>
        <w:t> </w:t>
      </w:r>
      <w:r>
        <w:rPr>
          <w:color w:val="231F20"/>
        </w:rPr>
        <w:t>1.442</w:t>
      </w:r>
      <w:r>
        <w:rPr>
          <w:color w:val="231F20"/>
          <w:spacing w:val="-25"/>
        </w:rPr>
        <w:t> </w:t>
      </w:r>
      <w:r>
        <w:rPr>
          <w:color w:val="231F20"/>
        </w:rPr>
        <w:t>do</w:t>
      </w:r>
      <w:r>
        <w:rPr>
          <w:color w:val="231F20"/>
          <w:spacing w:val="-25"/>
        </w:rPr>
        <w:t> </w:t>
      </w:r>
      <w:r>
        <w:rPr>
          <w:color w:val="231F20"/>
        </w:rPr>
        <w:t>not</w:t>
      </w:r>
      <w:r>
        <w:rPr>
          <w:color w:val="231F20"/>
          <w:spacing w:val="-25"/>
        </w:rPr>
        <w:t> </w:t>
      </w:r>
      <w:r>
        <w:rPr>
          <w:color w:val="231F20"/>
        </w:rPr>
        <w:t>require</w:t>
      </w:r>
      <w:r>
        <w:rPr>
          <w:color w:val="231F20"/>
          <w:spacing w:val="-25"/>
        </w:rPr>
        <w:t> </w:t>
      </w:r>
      <w:r>
        <w:rPr>
          <w:color w:val="231F20"/>
        </w:rPr>
        <w:t>service</w:t>
      </w:r>
      <w:r>
        <w:rPr>
          <w:color w:val="231F20"/>
          <w:spacing w:val="-25"/>
        </w:rPr>
        <w:t> </w:t>
      </w:r>
      <w:r>
        <w:rPr>
          <w:color w:val="231F20"/>
        </w:rPr>
        <w:t>by e-mail,</w:t>
      </w:r>
      <w:r>
        <w:rPr>
          <w:color w:val="231F20"/>
          <w:spacing w:val="-28"/>
        </w:rPr>
        <w:t> </w:t>
      </w:r>
      <w:r>
        <w:rPr>
          <w:color w:val="231F20"/>
        </w:rPr>
        <w:t>thus</w:t>
      </w:r>
      <w:r>
        <w:rPr>
          <w:color w:val="231F20"/>
          <w:spacing w:val="-28"/>
        </w:rPr>
        <w:t> </w:t>
      </w:r>
      <w:r>
        <w:rPr>
          <w:color w:val="231F20"/>
        </w:rPr>
        <w:t>reversing</w:t>
      </w:r>
      <w:r>
        <w:rPr>
          <w:color w:val="231F20"/>
          <w:spacing w:val="-28"/>
        </w:rPr>
        <w:t> </w:t>
      </w:r>
      <w:r>
        <w:rPr>
          <w:color w:val="231F20"/>
        </w:rPr>
        <w:t>the</w:t>
      </w:r>
      <w:r>
        <w:rPr>
          <w:color w:val="231F20"/>
          <w:spacing w:val="-30"/>
        </w:rPr>
        <w:t> </w:t>
      </w:r>
      <w:r>
        <w:rPr>
          <w:color w:val="231F20"/>
        </w:rPr>
        <w:t>Third</w:t>
      </w:r>
      <w:r>
        <w:rPr>
          <w:color w:val="231F20"/>
          <w:spacing w:val="-28"/>
        </w:rPr>
        <w:t> </w:t>
      </w:r>
      <w:r>
        <w:rPr>
          <w:color w:val="231F20"/>
        </w:rPr>
        <w:t>District.</w:t>
      </w:r>
    </w:p>
    <w:p>
      <w:pPr>
        <w:pStyle w:val="BodyText"/>
        <w:spacing w:before="9"/>
      </w:pPr>
    </w:p>
    <w:p>
      <w:pPr>
        <w:spacing w:before="0"/>
        <w:ind w:left="119" w:right="1737" w:firstLine="0"/>
        <w:jc w:val="both"/>
        <w:rPr>
          <w:b/>
          <w:sz w:val="24"/>
        </w:rPr>
      </w:pPr>
      <w:r>
        <w:rPr>
          <w:b/>
          <w:i/>
          <w:color w:val="231F20"/>
          <w:sz w:val="24"/>
        </w:rPr>
        <w:t>Wheaton </w:t>
      </w:r>
      <w:r>
        <w:rPr>
          <w:b/>
          <w:color w:val="231F20"/>
          <w:sz w:val="24"/>
        </w:rPr>
        <w:t>Factual Background</w:t>
      </w:r>
    </w:p>
    <w:p>
      <w:pPr>
        <w:pStyle w:val="BodyText"/>
        <w:spacing w:line="266" w:lineRule="auto" w:before="76"/>
        <w:ind w:left="119" w:right="284" w:firstLine="180"/>
        <w:jc w:val="both"/>
      </w:pPr>
      <w:r>
        <w:rPr>
          <w:color w:val="231F20"/>
          <w:spacing w:val="6"/>
        </w:rPr>
        <w:t>In </w:t>
      </w:r>
      <w:r>
        <w:rPr>
          <w:i/>
          <w:color w:val="231F20"/>
          <w:spacing w:val="10"/>
        </w:rPr>
        <w:t>Wheaton, </w:t>
      </w:r>
      <w:r>
        <w:rPr>
          <w:color w:val="231F20"/>
          <w:spacing w:val="10"/>
        </w:rPr>
        <w:t>Mardella </w:t>
      </w:r>
      <w:r>
        <w:rPr>
          <w:color w:val="231F20"/>
          <w:spacing w:val="12"/>
        </w:rPr>
        <w:t>Wheaton </w:t>
      </w:r>
      <w:r>
        <w:rPr>
          <w:color w:val="231F20"/>
          <w:spacing w:val="3"/>
        </w:rPr>
        <w:t>sued </w:t>
      </w:r>
      <w:r>
        <w:rPr>
          <w:color w:val="231F20"/>
          <w:spacing w:val="4"/>
        </w:rPr>
        <w:t>Sandra Wheaton </w:t>
      </w:r>
      <w:r>
        <w:rPr>
          <w:color w:val="231F20"/>
          <w:spacing w:val="3"/>
        </w:rPr>
        <w:t>for </w:t>
      </w:r>
      <w:r>
        <w:rPr>
          <w:color w:val="231F20"/>
          <w:spacing w:val="5"/>
        </w:rPr>
        <w:t>unlawful </w:t>
      </w:r>
      <w:r>
        <w:rPr>
          <w:color w:val="231F20"/>
        </w:rPr>
        <w:t>detainer</w:t>
      </w:r>
      <w:r>
        <w:rPr>
          <w:i/>
          <w:color w:val="231F20"/>
        </w:rPr>
        <w:t>.</w:t>
      </w:r>
      <w:r>
        <w:rPr>
          <w:color w:val="231F20"/>
          <w:position w:val="7"/>
          <w:sz w:val="12"/>
        </w:rPr>
        <w:t>9   </w:t>
      </w:r>
      <w:r>
        <w:rPr>
          <w:color w:val="231F20"/>
        </w:rPr>
        <w:t>Sandra  served  a</w:t>
      </w:r>
      <w:r>
        <w:rPr>
          <w:color w:val="231F20"/>
          <w:spacing w:val="-7"/>
        </w:rPr>
        <w:t> </w:t>
      </w:r>
      <w:r>
        <w:rPr>
          <w:color w:val="231F20"/>
        </w:rPr>
        <w:t>proposal</w:t>
      </w:r>
    </w:p>
    <w:p>
      <w:pPr>
        <w:spacing w:before="13"/>
        <w:ind w:left="1623" w:right="0" w:firstLine="0"/>
        <w:jc w:val="both"/>
        <w:rPr>
          <w:i/>
          <w:sz w:val="20"/>
        </w:rPr>
      </w:pPr>
      <w:r>
        <w:rPr>
          <w:i/>
          <w:color w:val="231F20"/>
          <w:sz w:val="20"/>
        </w:rPr>
        <w:t>continued, next</w:t>
      </w:r>
      <w:r>
        <w:rPr>
          <w:i/>
          <w:color w:val="231F20"/>
          <w:spacing w:val="-8"/>
          <w:sz w:val="20"/>
        </w:rPr>
        <w:t> </w:t>
      </w:r>
      <w:r>
        <w:rPr>
          <w:i/>
          <w:color w:val="231F20"/>
          <w:sz w:val="20"/>
        </w:rPr>
        <w:t>page</w:t>
      </w:r>
    </w:p>
    <w:p>
      <w:pPr>
        <w:spacing w:after="0"/>
        <w:jc w:val="both"/>
        <w:rPr>
          <w:sz w:val="20"/>
        </w:rPr>
        <w:sectPr>
          <w:type w:val="continuous"/>
          <w:pgSz w:w="12240" w:h="15840"/>
          <w:pgMar w:top="500" w:bottom="280" w:left="720" w:right="540"/>
          <w:cols w:num="3" w:equalWidth="0">
            <w:col w:w="3525" w:space="75"/>
            <w:col w:w="3528" w:space="72"/>
            <w:col w:w="3780"/>
          </w:cols>
        </w:sectPr>
      </w:pPr>
    </w:p>
    <w:p>
      <w:pPr>
        <w:pStyle w:val="BodyText"/>
        <w:rPr>
          <w:i/>
        </w:rPr>
      </w:pPr>
    </w:p>
    <w:p>
      <w:pPr>
        <w:pStyle w:val="BodyText"/>
        <w:spacing w:before="9"/>
        <w:rPr>
          <w:i/>
          <w:sz w:val="12"/>
        </w:rPr>
      </w:pPr>
    </w:p>
    <w:p>
      <w:pPr>
        <w:pStyle w:val="BodyText"/>
        <w:spacing w:line="60" w:lineRule="exact"/>
        <w:ind w:left="90"/>
        <w:rPr>
          <w:sz w:val="6"/>
        </w:rPr>
      </w:pPr>
      <w:r>
        <w:rPr>
          <w:position w:val="0"/>
          <w:sz w:val="6"/>
        </w:rPr>
        <w:pict>
          <v:group style="width:528pt;height:3pt;mso-position-horizontal-relative:char;mso-position-vertical-relative:line" coordorigin="0,0" coordsize="10560,60">
            <v:line style="position:absolute" from="0,30" to="10560,30" stroked="true" strokeweight="3pt" strokecolor="#c7c8ca">
              <v:stroke dashstyle="solid"/>
            </v:line>
          </v:group>
        </w:pict>
      </w:r>
      <w:r>
        <w:rPr>
          <w:position w:val="0"/>
          <w:sz w:val="6"/>
        </w:rPr>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7"/>
        <w:rPr>
          <w:i/>
          <w:sz w:val="16"/>
        </w:rPr>
      </w:pPr>
    </w:p>
    <w:p>
      <w:pPr>
        <w:pStyle w:val="Heading6"/>
        <w:spacing w:line="300" w:lineRule="auto"/>
      </w:pPr>
      <w:r>
        <w:rPr/>
        <w:pict>
          <v:group style="position:absolute;margin-left:42pt;margin-top:-137.270706pt;width:348pt;height:449pt;mso-position-horizontal-relative:page;mso-position-vertical-relative:paragraph;z-index:-253079552" coordorigin="840,-2745" coordsize="6960,8980">
            <v:rect style="position:absolute;left:840;top:-2746;width:6960;height:8980" filled="true" fillcolor="#b7b6b6" stroked="false">
              <v:fill type="solid"/>
            </v:rect>
            <v:rect style="position:absolute;left:1070;top:-2506;width:6500;height:8498" filled="true" fillcolor="#ffffff" stroked="false">
              <v:fill type="solid"/>
            </v:rect>
            <v:rect style="position:absolute;left:1070;top:-2506;width:6500;height:8498" filled="false" stroked="true" strokeweight="2.0pt" strokecolor="#00334c">
              <v:stroke dashstyle="solid"/>
            </v:rect>
            <v:shape style="position:absolute;left:1320;top:4698;width:6000;height:954" type="#_x0000_t202" filled="true" fillcolor="#00334c" stroked="false">
              <v:textbox inset="0,0,0,0">
                <w:txbxContent>
                  <w:p>
                    <w:pPr>
                      <w:spacing w:before="156"/>
                      <w:ind w:left="1839" w:right="453" w:hanging="977"/>
                      <w:jc w:val="left"/>
                      <w:rPr>
                        <w:b/>
                        <w:sz w:val="28"/>
                      </w:rPr>
                    </w:pPr>
                    <w:r>
                      <w:rPr>
                        <w:b/>
                        <w:color w:val="FFFFFF"/>
                        <w:w w:val="80"/>
                        <w:sz w:val="28"/>
                      </w:rPr>
                      <w:t>Visit </w:t>
                    </w:r>
                    <w:hyperlink r:id="rId72">
                      <w:r>
                        <w:rPr>
                          <w:b/>
                          <w:color w:val="FFFFFF"/>
                          <w:w w:val="80"/>
                          <w:sz w:val="28"/>
                        </w:rPr>
                        <w:t>www.floridabar.org/memberbenefits</w:t>
                      </w:r>
                    </w:hyperlink>
                    <w:r>
                      <w:rPr>
                        <w:b/>
                        <w:color w:val="FFFFFF"/>
                        <w:w w:val="80"/>
                        <w:sz w:val="28"/>
                      </w:rPr>
                      <w:t> </w:t>
                    </w:r>
                    <w:r>
                      <w:rPr>
                        <w:b/>
                        <w:color w:val="FFFFFF"/>
                        <w:w w:val="90"/>
                        <w:sz w:val="28"/>
                      </w:rPr>
                      <w:t>for more information.</w:t>
                    </w:r>
                  </w:p>
                </w:txbxContent>
              </v:textbox>
              <v:fill type="solid"/>
              <w10:wrap type="none"/>
            </v:shape>
            <v:shape style="position:absolute;left:1320;top:-2178;width:6000;height:1920" type="#_x0000_t202" filled="true" fillcolor="#00b062" stroked="false">
              <v:textbox inset="0,0,0,0">
                <w:txbxContent>
                  <w:p>
                    <w:pPr>
                      <w:spacing w:before="297"/>
                      <w:ind w:left="347" w:right="0" w:firstLine="0"/>
                      <w:jc w:val="left"/>
                      <w:rPr>
                        <w:b/>
                        <w:sz w:val="40"/>
                      </w:rPr>
                    </w:pPr>
                    <w:r>
                      <w:rPr>
                        <w:b/>
                        <w:color w:val="FFFFFF"/>
                        <w:w w:val="85"/>
                        <w:sz w:val="40"/>
                      </w:rPr>
                      <w:t>Are</w:t>
                    </w:r>
                    <w:r>
                      <w:rPr>
                        <w:b/>
                        <w:color w:val="FFFFFF"/>
                        <w:spacing w:val="-27"/>
                        <w:w w:val="85"/>
                        <w:sz w:val="40"/>
                      </w:rPr>
                      <w:t> </w:t>
                    </w:r>
                    <w:r>
                      <w:rPr>
                        <w:b/>
                        <w:color w:val="FFFFFF"/>
                        <w:w w:val="85"/>
                        <w:sz w:val="40"/>
                      </w:rPr>
                      <w:t>you</w:t>
                    </w:r>
                    <w:r>
                      <w:rPr>
                        <w:b/>
                        <w:color w:val="FFFFFF"/>
                        <w:spacing w:val="-27"/>
                        <w:w w:val="85"/>
                        <w:sz w:val="40"/>
                      </w:rPr>
                      <w:t> </w:t>
                    </w:r>
                    <w:r>
                      <w:rPr>
                        <w:b/>
                        <w:color w:val="FFFFFF"/>
                        <w:w w:val="85"/>
                        <w:sz w:val="40"/>
                      </w:rPr>
                      <w:t>getting</w:t>
                    </w:r>
                    <w:r>
                      <w:rPr>
                        <w:b/>
                        <w:color w:val="FFFFFF"/>
                        <w:spacing w:val="-27"/>
                        <w:w w:val="85"/>
                        <w:sz w:val="40"/>
                      </w:rPr>
                      <w:t> </w:t>
                    </w:r>
                    <w:r>
                      <w:rPr>
                        <w:b/>
                        <w:color w:val="FFFFFF"/>
                        <w:w w:val="85"/>
                        <w:sz w:val="40"/>
                      </w:rPr>
                      <w:t>the</w:t>
                    </w:r>
                    <w:r>
                      <w:rPr>
                        <w:b/>
                        <w:color w:val="FFFFFF"/>
                        <w:spacing w:val="-27"/>
                        <w:w w:val="85"/>
                        <w:sz w:val="40"/>
                      </w:rPr>
                      <w:t> </w:t>
                    </w:r>
                    <w:r>
                      <w:rPr>
                        <w:b/>
                        <w:color w:val="FFFFFF"/>
                        <w:w w:val="85"/>
                        <w:sz w:val="40"/>
                      </w:rPr>
                      <w:t>most</w:t>
                    </w:r>
                    <w:r>
                      <w:rPr>
                        <w:b/>
                        <w:color w:val="FFFFFF"/>
                        <w:spacing w:val="-27"/>
                        <w:w w:val="85"/>
                        <w:sz w:val="40"/>
                      </w:rPr>
                      <w:t> </w:t>
                    </w:r>
                    <w:r>
                      <w:rPr>
                        <w:b/>
                        <w:color w:val="FFFFFF"/>
                        <w:w w:val="85"/>
                        <w:sz w:val="40"/>
                      </w:rPr>
                      <w:t>from</w:t>
                    </w:r>
                    <w:r>
                      <w:rPr>
                        <w:b/>
                        <w:color w:val="FFFFFF"/>
                        <w:spacing w:val="-27"/>
                        <w:w w:val="85"/>
                        <w:sz w:val="40"/>
                      </w:rPr>
                      <w:t> </w:t>
                    </w:r>
                    <w:r>
                      <w:rPr>
                        <w:b/>
                        <w:color w:val="FFFFFF"/>
                        <w:w w:val="85"/>
                        <w:sz w:val="40"/>
                      </w:rPr>
                      <w:t>your</w:t>
                    </w:r>
                  </w:p>
                  <w:p>
                    <w:pPr>
                      <w:spacing w:before="122"/>
                      <w:ind w:left="388" w:right="0" w:firstLine="0"/>
                      <w:jc w:val="left"/>
                      <w:rPr>
                        <w:b/>
                        <w:sz w:val="76"/>
                      </w:rPr>
                    </w:pPr>
                    <w:r>
                      <w:rPr>
                        <w:b/>
                        <w:color w:val="FFFFFF"/>
                        <w:w w:val="85"/>
                        <w:sz w:val="76"/>
                      </w:rPr>
                      <w:t>Member</w:t>
                    </w:r>
                    <w:r>
                      <w:rPr>
                        <w:b/>
                        <w:color w:val="FFFFFF"/>
                        <w:spacing w:val="-95"/>
                        <w:w w:val="85"/>
                        <w:sz w:val="76"/>
                      </w:rPr>
                      <w:t> </w:t>
                    </w:r>
                    <w:r>
                      <w:rPr>
                        <w:b/>
                        <w:color w:val="FFFFFF"/>
                        <w:w w:val="85"/>
                        <w:sz w:val="76"/>
                      </w:rPr>
                      <w:t>Benefits?</w:t>
                    </w:r>
                  </w:p>
                </w:txbxContent>
              </v:textbox>
              <v:fill type="solid"/>
              <w10:wrap type="none"/>
            </v:shape>
            <w10:wrap type="none"/>
          </v:group>
        </w:pict>
      </w:r>
      <w:r>
        <w:rPr/>
        <w:pict>
          <v:group style="position:absolute;margin-left:402pt;margin-top:-137.270706pt;width:168.75pt;height:449pt;mso-position-horizontal-relative:page;mso-position-vertical-relative:paragraph;z-index:251771904" coordorigin="8040,-2745" coordsize="3375,8980">
            <v:shape style="position:absolute;left:8047;top:-2738;width:3360;height:8965" type="#_x0000_t75" stroked="false">
              <v:imagedata r:id="rId73" o:title=""/>
            </v:shape>
            <v:rect style="position:absolute;left:8047;top:-2738;width:3360;height:8965" filled="false" stroked="true" strokeweight=".75pt" strokecolor="#231f20">
              <v:stroke dashstyle="solid"/>
            </v:rect>
            <w10:wrap type="none"/>
          </v:group>
        </w:pict>
      </w:r>
      <w:r>
        <w:rPr>
          <w:color w:val="00334C"/>
          <w:spacing w:val="-12"/>
          <w:w w:val="85"/>
        </w:rPr>
        <w:t>Tap</w:t>
      </w:r>
      <w:r>
        <w:rPr>
          <w:color w:val="00334C"/>
          <w:spacing w:val="-29"/>
          <w:w w:val="85"/>
        </w:rPr>
        <w:t> </w:t>
      </w:r>
      <w:r>
        <w:rPr>
          <w:color w:val="00334C"/>
          <w:w w:val="85"/>
        </w:rPr>
        <w:t>into</w:t>
      </w:r>
      <w:r>
        <w:rPr>
          <w:color w:val="00334C"/>
          <w:spacing w:val="-29"/>
          <w:w w:val="85"/>
        </w:rPr>
        <w:t> </w:t>
      </w:r>
      <w:r>
        <w:rPr>
          <w:color w:val="00334C"/>
          <w:w w:val="85"/>
        </w:rPr>
        <w:t>the</w:t>
      </w:r>
      <w:r>
        <w:rPr>
          <w:color w:val="00334C"/>
          <w:spacing w:val="-28"/>
          <w:w w:val="85"/>
        </w:rPr>
        <w:t> </w:t>
      </w:r>
      <w:r>
        <w:rPr>
          <w:color w:val="00334C"/>
          <w:w w:val="85"/>
        </w:rPr>
        <w:t>more</w:t>
      </w:r>
      <w:r>
        <w:rPr>
          <w:color w:val="00334C"/>
          <w:spacing w:val="-30"/>
          <w:w w:val="85"/>
        </w:rPr>
        <w:t> </w:t>
      </w:r>
      <w:r>
        <w:rPr>
          <w:color w:val="00334C"/>
          <w:w w:val="85"/>
        </w:rPr>
        <w:t>than</w:t>
      </w:r>
      <w:r>
        <w:rPr>
          <w:color w:val="00334C"/>
          <w:spacing w:val="-28"/>
          <w:w w:val="85"/>
        </w:rPr>
        <w:t> </w:t>
      </w:r>
      <w:r>
        <w:rPr>
          <w:color w:val="00334C"/>
          <w:w w:val="85"/>
        </w:rPr>
        <w:t>60</w:t>
      </w:r>
      <w:r>
        <w:rPr>
          <w:color w:val="00334C"/>
          <w:spacing w:val="-28"/>
          <w:w w:val="85"/>
        </w:rPr>
        <w:t> </w:t>
      </w:r>
      <w:r>
        <w:rPr>
          <w:color w:val="00334C"/>
          <w:w w:val="85"/>
        </w:rPr>
        <w:t>free</w:t>
      </w:r>
      <w:r>
        <w:rPr>
          <w:color w:val="00334C"/>
          <w:spacing w:val="-29"/>
          <w:w w:val="85"/>
        </w:rPr>
        <w:t> </w:t>
      </w:r>
      <w:r>
        <w:rPr>
          <w:color w:val="00334C"/>
          <w:w w:val="85"/>
        </w:rPr>
        <w:t>or</w:t>
      </w:r>
      <w:r>
        <w:rPr>
          <w:color w:val="00334C"/>
          <w:spacing w:val="-28"/>
          <w:w w:val="85"/>
        </w:rPr>
        <w:t> </w:t>
      </w:r>
      <w:r>
        <w:rPr>
          <w:color w:val="00334C"/>
          <w:w w:val="85"/>
        </w:rPr>
        <w:t>discounted </w:t>
      </w:r>
      <w:r>
        <w:rPr>
          <w:color w:val="00334C"/>
          <w:w w:val="90"/>
        </w:rPr>
        <w:t>products and</w:t>
      </w:r>
      <w:r>
        <w:rPr>
          <w:color w:val="00334C"/>
          <w:spacing w:val="-45"/>
          <w:w w:val="90"/>
        </w:rPr>
        <w:t> </w:t>
      </w:r>
      <w:r>
        <w:rPr>
          <w:color w:val="00334C"/>
          <w:w w:val="90"/>
        </w:rPr>
        <w:t>services.</w:t>
      </w:r>
    </w:p>
    <w:p>
      <w:pPr>
        <w:pStyle w:val="BodyText"/>
        <w:rPr>
          <w:sz w:val="18"/>
        </w:rPr>
      </w:pPr>
    </w:p>
    <w:p>
      <w:pPr>
        <w:spacing w:before="100"/>
        <w:ind w:left="2300" w:right="0" w:firstLine="0"/>
        <w:jc w:val="left"/>
        <w:rPr>
          <w:i/>
          <w:sz w:val="24"/>
        </w:rPr>
      </w:pPr>
      <w:r>
        <w:rPr>
          <w:i/>
          <w:color w:val="231F20"/>
          <w:w w:val="85"/>
          <w:sz w:val="24"/>
        </w:rPr>
        <w:t>Products</w:t>
      </w:r>
      <w:r>
        <w:rPr>
          <w:i/>
          <w:color w:val="231F20"/>
          <w:spacing w:val="-34"/>
          <w:w w:val="85"/>
          <w:sz w:val="24"/>
        </w:rPr>
        <w:t> </w:t>
      </w:r>
      <w:r>
        <w:rPr>
          <w:i/>
          <w:color w:val="231F20"/>
          <w:w w:val="85"/>
          <w:sz w:val="24"/>
        </w:rPr>
        <w:t>&amp;</w:t>
      </w:r>
      <w:r>
        <w:rPr>
          <w:i/>
          <w:color w:val="231F20"/>
          <w:spacing w:val="-34"/>
          <w:w w:val="85"/>
          <w:sz w:val="24"/>
        </w:rPr>
        <w:t> </w:t>
      </w:r>
      <w:r>
        <w:rPr>
          <w:i/>
          <w:color w:val="231F20"/>
          <w:w w:val="85"/>
          <w:sz w:val="24"/>
        </w:rPr>
        <w:t>Services</w:t>
      </w:r>
      <w:r>
        <w:rPr>
          <w:i/>
          <w:color w:val="231F20"/>
          <w:spacing w:val="-34"/>
          <w:w w:val="85"/>
          <w:sz w:val="24"/>
        </w:rPr>
        <w:t> </w:t>
      </w:r>
      <w:r>
        <w:rPr>
          <w:i/>
          <w:color w:val="231F20"/>
          <w:w w:val="85"/>
          <w:sz w:val="24"/>
        </w:rPr>
        <w:t>Categories</w:t>
      </w:r>
    </w:p>
    <w:p>
      <w:pPr>
        <w:spacing w:after="0"/>
        <w:jc w:val="left"/>
        <w:rPr>
          <w:sz w:val="24"/>
        </w:rPr>
        <w:sectPr>
          <w:type w:val="continuous"/>
          <w:pgSz w:w="12240" w:h="15840"/>
          <w:pgMar w:top="500" w:bottom="280" w:left="720" w:right="540"/>
        </w:sectPr>
      </w:pPr>
    </w:p>
    <w:p>
      <w:pPr>
        <w:numPr>
          <w:ilvl w:val="1"/>
          <w:numId w:val="3"/>
        </w:numPr>
        <w:tabs>
          <w:tab w:pos="998" w:val="left" w:leader="none"/>
        </w:tabs>
        <w:spacing w:before="165"/>
        <w:ind w:left="997" w:right="0" w:hanging="398"/>
        <w:jc w:val="left"/>
        <w:rPr>
          <w:b/>
          <w:sz w:val="32"/>
        </w:rPr>
      </w:pPr>
      <w:r>
        <w:rPr>
          <w:b/>
          <w:color w:val="4089B0"/>
          <w:w w:val="80"/>
          <w:sz w:val="32"/>
        </w:rPr>
        <w:t>Practice</w:t>
      </w:r>
      <w:r>
        <w:rPr>
          <w:b/>
          <w:color w:val="4089B0"/>
          <w:spacing w:val="52"/>
          <w:w w:val="80"/>
          <w:sz w:val="32"/>
        </w:rPr>
        <w:t> </w:t>
      </w:r>
      <w:r>
        <w:rPr>
          <w:b/>
          <w:color w:val="4089B0"/>
          <w:spacing w:val="-3"/>
          <w:w w:val="80"/>
          <w:sz w:val="32"/>
        </w:rPr>
        <w:t>Resources</w:t>
      </w:r>
    </w:p>
    <w:p>
      <w:pPr>
        <w:numPr>
          <w:ilvl w:val="1"/>
          <w:numId w:val="3"/>
        </w:numPr>
        <w:tabs>
          <w:tab w:pos="998" w:val="left" w:leader="none"/>
        </w:tabs>
        <w:spacing w:before="135"/>
        <w:ind w:left="997" w:right="0" w:hanging="398"/>
        <w:jc w:val="left"/>
        <w:rPr>
          <w:b/>
          <w:sz w:val="32"/>
        </w:rPr>
      </w:pPr>
      <w:r>
        <w:rPr>
          <w:b/>
          <w:color w:val="4089B0"/>
          <w:w w:val="85"/>
          <w:sz w:val="32"/>
        </w:rPr>
        <w:t>Internet</w:t>
      </w:r>
      <w:r>
        <w:rPr>
          <w:b/>
          <w:color w:val="4089B0"/>
          <w:spacing w:val="-31"/>
          <w:w w:val="85"/>
          <w:sz w:val="32"/>
        </w:rPr>
        <w:t> </w:t>
      </w:r>
      <w:r>
        <w:rPr>
          <w:b/>
          <w:color w:val="4089B0"/>
          <w:w w:val="85"/>
          <w:sz w:val="32"/>
        </w:rPr>
        <w:t>Marketing</w:t>
      </w:r>
    </w:p>
    <w:p>
      <w:pPr>
        <w:numPr>
          <w:ilvl w:val="1"/>
          <w:numId w:val="3"/>
        </w:numPr>
        <w:tabs>
          <w:tab w:pos="998" w:val="left" w:leader="none"/>
        </w:tabs>
        <w:spacing w:before="135"/>
        <w:ind w:left="997" w:right="0" w:hanging="398"/>
        <w:jc w:val="left"/>
        <w:rPr>
          <w:b/>
          <w:sz w:val="32"/>
        </w:rPr>
      </w:pPr>
      <w:r>
        <w:rPr>
          <w:b/>
          <w:color w:val="4089B0"/>
          <w:w w:val="85"/>
          <w:sz w:val="32"/>
        </w:rPr>
        <w:t>Legal</w:t>
      </w:r>
      <w:r>
        <w:rPr>
          <w:b/>
          <w:color w:val="4089B0"/>
          <w:spacing w:val="-34"/>
          <w:w w:val="85"/>
          <w:sz w:val="32"/>
        </w:rPr>
        <w:t> </w:t>
      </w:r>
      <w:r>
        <w:rPr>
          <w:b/>
          <w:color w:val="4089B0"/>
          <w:w w:val="85"/>
          <w:sz w:val="32"/>
        </w:rPr>
        <w:t>Publications</w:t>
      </w:r>
    </w:p>
    <w:p>
      <w:pPr>
        <w:numPr>
          <w:ilvl w:val="1"/>
          <w:numId w:val="3"/>
        </w:numPr>
        <w:tabs>
          <w:tab w:pos="998" w:val="left" w:leader="none"/>
        </w:tabs>
        <w:spacing w:before="136"/>
        <w:ind w:left="997" w:right="0" w:hanging="398"/>
        <w:jc w:val="left"/>
        <w:rPr>
          <w:b/>
          <w:sz w:val="32"/>
        </w:rPr>
      </w:pPr>
      <w:r>
        <w:rPr>
          <w:b/>
          <w:color w:val="4089B0"/>
          <w:w w:val="90"/>
          <w:sz w:val="32"/>
        </w:rPr>
        <w:t>Legal</w:t>
      </w:r>
      <w:r>
        <w:rPr>
          <w:b/>
          <w:color w:val="4089B0"/>
          <w:spacing w:val="-31"/>
          <w:w w:val="90"/>
          <w:sz w:val="32"/>
        </w:rPr>
        <w:t> </w:t>
      </w:r>
      <w:r>
        <w:rPr>
          <w:b/>
          <w:color w:val="4089B0"/>
          <w:w w:val="90"/>
          <w:sz w:val="32"/>
        </w:rPr>
        <w:t>Research</w:t>
      </w:r>
    </w:p>
    <w:p>
      <w:pPr>
        <w:numPr>
          <w:ilvl w:val="1"/>
          <w:numId w:val="3"/>
        </w:numPr>
        <w:tabs>
          <w:tab w:pos="998" w:val="left" w:leader="none"/>
        </w:tabs>
        <w:spacing w:before="135"/>
        <w:ind w:left="997" w:right="0" w:hanging="398"/>
        <w:jc w:val="left"/>
        <w:rPr>
          <w:b/>
          <w:sz w:val="32"/>
        </w:rPr>
      </w:pPr>
      <w:r>
        <w:rPr>
          <w:b/>
          <w:color w:val="4089B0"/>
          <w:w w:val="90"/>
          <w:sz w:val="32"/>
        </w:rPr>
        <w:t>Legal</w:t>
      </w:r>
      <w:r>
        <w:rPr>
          <w:b/>
          <w:color w:val="4089B0"/>
          <w:spacing w:val="-19"/>
          <w:w w:val="90"/>
          <w:sz w:val="32"/>
        </w:rPr>
        <w:t> </w:t>
      </w:r>
      <w:r>
        <w:rPr>
          <w:b/>
          <w:color w:val="4089B0"/>
          <w:w w:val="90"/>
          <w:sz w:val="32"/>
        </w:rPr>
        <w:t>Forms</w:t>
      </w:r>
    </w:p>
    <w:p>
      <w:pPr>
        <w:numPr>
          <w:ilvl w:val="0"/>
          <w:numId w:val="4"/>
        </w:numPr>
        <w:tabs>
          <w:tab w:pos="883" w:val="left" w:leader="none"/>
        </w:tabs>
        <w:spacing w:before="165"/>
        <w:ind w:left="883" w:right="0" w:hanging="398"/>
        <w:jc w:val="left"/>
        <w:rPr>
          <w:b/>
          <w:sz w:val="32"/>
        </w:rPr>
      </w:pPr>
      <w:r>
        <w:rPr>
          <w:b/>
          <w:color w:val="4089B0"/>
          <w:w w:val="82"/>
          <w:sz w:val="32"/>
        </w:rPr>
        <w:br w:type="column"/>
      </w:r>
      <w:r>
        <w:rPr>
          <w:b/>
          <w:color w:val="4089B0"/>
          <w:w w:val="90"/>
          <w:sz w:val="32"/>
        </w:rPr>
        <w:t>Banking</w:t>
      </w:r>
    </w:p>
    <w:p>
      <w:pPr>
        <w:numPr>
          <w:ilvl w:val="0"/>
          <w:numId w:val="4"/>
        </w:numPr>
        <w:tabs>
          <w:tab w:pos="883" w:val="left" w:leader="none"/>
        </w:tabs>
        <w:spacing w:before="135"/>
        <w:ind w:left="883" w:right="0" w:hanging="398"/>
        <w:jc w:val="left"/>
        <w:rPr>
          <w:b/>
          <w:sz w:val="32"/>
        </w:rPr>
      </w:pPr>
      <w:r>
        <w:rPr>
          <w:b/>
          <w:color w:val="4089B0"/>
          <w:w w:val="90"/>
          <w:sz w:val="32"/>
        </w:rPr>
        <w:t>Shipping</w:t>
      </w:r>
    </w:p>
    <w:p>
      <w:pPr>
        <w:numPr>
          <w:ilvl w:val="0"/>
          <w:numId w:val="4"/>
        </w:numPr>
        <w:tabs>
          <w:tab w:pos="883" w:val="left" w:leader="none"/>
        </w:tabs>
        <w:spacing w:before="135"/>
        <w:ind w:left="883" w:right="0" w:hanging="398"/>
        <w:jc w:val="left"/>
        <w:rPr>
          <w:b/>
          <w:sz w:val="32"/>
        </w:rPr>
      </w:pPr>
      <w:r>
        <w:rPr>
          <w:b/>
          <w:color w:val="4089B0"/>
          <w:w w:val="90"/>
          <w:sz w:val="32"/>
        </w:rPr>
        <w:t>Insurance</w:t>
      </w:r>
    </w:p>
    <w:p>
      <w:pPr>
        <w:numPr>
          <w:ilvl w:val="0"/>
          <w:numId w:val="4"/>
        </w:numPr>
        <w:tabs>
          <w:tab w:pos="883" w:val="left" w:leader="none"/>
        </w:tabs>
        <w:spacing w:before="135"/>
        <w:ind w:left="883" w:right="0" w:hanging="398"/>
        <w:jc w:val="left"/>
        <w:rPr>
          <w:b/>
          <w:sz w:val="32"/>
        </w:rPr>
      </w:pPr>
      <w:r>
        <w:rPr>
          <w:b/>
          <w:color w:val="4089B0"/>
          <w:spacing w:val="-3"/>
          <w:w w:val="90"/>
          <w:sz w:val="32"/>
        </w:rPr>
        <w:t>Travel</w:t>
      </w:r>
    </w:p>
    <w:p>
      <w:pPr>
        <w:numPr>
          <w:ilvl w:val="0"/>
          <w:numId w:val="4"/>
        </w:numPr>
        <w:tabs>
          <w:tab w:pos="883" w:val="left" w:leader="none"/>
        </w:tabs>
        <w:spacing w:before="135"/>
        <w:ind w:left="883" w:right="0" w:hanging="398"/>
        <w:jc w:val="left"/>
        <w:rPr>
          <w:b/>
          <w:sz w:val="32"/>
        </w:rPr>
      </w:pPr>
      <w:r>
        <w:rPr>
          <w:b/>
          <w:color w:val="4089B0"/>
          <w:w w:val="90"/>
          <w:sz w:val="32"/>
        </w:rPr>
        <w:t>Retail</w:t>
      </w:r>
    </w:p>
    <w:p>
      <w:pPr>
        <w:spacing w:after="0"/>
        <w:jc w:val="left"/>
        <w:rPr>
          <w:sz w:val="32"/>
        </w:rPr>
        <w:sectPr>
          <w:type w:val="continuous"/>
          <w:pgSz w:w="12240" w:h="15840"/>
          <w:pgMar w:top="500" w:bottom="280" w:left="720" w:right="540"/>
          <w:cols w:num="2" w:equalWidth="0">
            <w:col w:w="3435" w:space="40"/>
            <w:col w:w="7505"/>
          </w:cols>
        </w:sectPr>
      </w:pPr>
    </w:p>
    <w:p>
      <w:pPr>
        <w:pStyle w:val="BodyText"/>
        <w:spacing w:before="6"/>
        <w:rPr>
          <w:b/>
          <w:sz w:val="9"/>
        </w:rPr>
      </w:pPr>
    </w:p>
    <w:p>
      <w:pPr>
        <w:pStyle w:val="BodyText"/>
        <w:spacing w:line="20" w:lineRule="exact"/>
        <w:ind w:left="110" w:right="-15"/>
        <w:rPr>
          <w:sz w:val="2"/>
        </w:rPr>
      </w:pPr>
      <w:r>
        <w:rPr>
          <w:sz w:val="2"/>
        </w:rPr>
        <w:pict>
          <v:group style="width:168pt;height:1pt;mso-position-horizontal-relative:char;mso-position-vertical-relative:line" coordorigin="0,0" coordsize="3360,20">
            <v:line style="position:absolute" from="0,10" to="3360,10" stroked="true" strokeweight="1pt" strokecolor="#231f20">
              <v:stroke dashstyle="solid"/>
            </v:line>
          </v:group>
        </w:pict>
      </w:r>
      <w:r>
        <w:rPr>
          <w:sz w:val="2"/>
        </w:rPr>
      </w:r>
    </w:p>
    <w:p>
      <w:pPr>
        <w:spacing w:before="92"/>
        <w:ind w:left="120" w:right="0" w:firstLine="0"/>
        <w:jc w:val="both"/>
        <w:rPr>
          <w:i/>
          <w:sz w:val="20"/>
        </w:rPr>
      </w:pPr>
      <w:r>
        <w:rPr>
          <w:b/>
          <w:color w:val="0076BF"/>
          <w:sz w:val="20"/>
        </w:rPr>
        <w:t>IT SAyS WHAT IT SAyS, </w:t>
      </w:r>
      <w:r>
        <w:rPr>
          <w:i/>
          <w:color w:val="0076BF"/>
          <w:sz w:val="20"/>
        </w:rPr>
        <w:t>continued</w:t>
      </w:r>
    </w:p>
    <w:p>
      <w:pPr>
        <w:pStyle w:val="BodyText"/>
        <w:spacing w:before="6"/>
        <w:rPr>
          <w:i/>
          <w:sz w:val="8"/>
        </w:rPr>
      </w:pPr>
    </w:p>
    <w:p>
      <w:pPr>
        <w:pStyle w:val="BodyText"/>
        <w:spacing w:line="40" w:lineRule="exact"/>
        <w:ind w:left="100"/>
        <w:rPr>
          <w:sz w:val="4"/>
        </w:rPr>
      </w:pPr>
      <w:r>
        <w:rPr>
          <w:position w:val="0"/>
          <w:sz w:val="4"/>
        </w:rPr>
        <w:pict>
          <v:group style="width:168pt;height:2pt;mso-position-horizontal-relative:char;mso-position-vertical-relative:line" coordorigin="0,0" coordsize="3360,40">
            <v:line style="position:absolute" from="0,20" to="3360,20" stroked="true" strokeweight="2pt" strokecolor="#231f20">
              <v:stroke dashstyle="solid"/>
            </v:line>
          </v:group>
        </w:pict>
      </w:r>
      <w:r>
        <w:rPr>
          <w:position w:val="0"/>
          <w:sz w:val="4"/>
        </w:rPr>
      </w:r>
    </w:p>
    <w:p>
      <w:pPr>
        <w:pStyle w:val="BodyText"/>
        <w:spacing w:before="3"/>
        <w:rPr>
          <w:i/>
          <w:sz w:val="23"/>
        </w:rPr>
      </w:pPr>
    </w:p>
    <w:p>
      <w:pPr>
        <w:pStyle w:val="BodyText"/>
        <w:spacing w:line="254" w:lineRule="auto" w:before="1"/>
        <w:ind w:left="129" w:right="38"/>
        <w:jc w:val="both"/>
      </w:pPr>
      <w:r>
        <w:rPr>
          <w:color w:val="231F20"/>
        </w:rPr>
        <w:t>for settlement on Mardella via e-mail; Mardella received but did not accept </w:t>
      </w:r>
      <w:r>
        <w:rPr>
          <w:color w:val="231F20"/>
          <w:spacing w:val="4"/>
        </w:rPr>
        <w:t>the </w:t>
      </w:r>
      <w:r>
        <w:rPr>
          <w:color w:val="231F20"/>
          <w:spacing w:val="6"/>
        </w:rPr>
        <w:t>proposal.</w:t>
      </w:r>
      <w:r>
        <w:rPr>
          <w:color w:val="231F20"/>
          <w:spacing w:val="6"/>
          <w:position w:val="7"/>
          <w:sz w:val="12"/>
        </w:rPr>
        <w:t>10 </w:t>
      </w:r>
      <w:r>
        <w:rPr>
          <w:color w:val="231F20"/>
          <w:spacing w:val="5"/>
        </w:rPr>
        <w:t>After </w:t>
      </w:r>
      <w:r>
        <w:rPr>
          <w:color w:val="231F20"/>
          <w:spacing w:val="4"/>
        </w:rPr>
        <w:t>the </w:t>
      </w:r>
      <w:r>
        <w:rPr>
          <w:color w:val="231F20"/>
          <w:spacing w:val="5"/>
        </w:rPr>
        <w:t>trial </w:t>
      </w:r>
      <w:r>
        <w:rPr>
          <w:color w:val="231F20"/>
          <w:spacing w:val="7"/>
        </w:rPr>
        <w:t>court </w:t>
      </w:r>
      <w:r>
        <w:rPr>
          <w:color w:val="231F20"/>
        </w:rPr>
        <w:t>granted Sandra’s motion for summary judgment, she moved to enforce the </w:t>
      </w:r>
      <w:r>
        <w:rPr>
          <w:color w:val="231F20"/>
          <w:spacing w:val="4"/>
        </w:rPr>
        <w:t>proposal for </w:t>
      </w:r>
      <w:r>
        <w:rPr>
          <w:color w:val="231F20"/>
          <w:spacing w:val="5"/>
        </w:rPr>
        <w:t>settlement </w:t>
      </w:r>
      <w:r>
        <w:rPr>
          <w:color w:val="231F20"/>
          <w:spacing w:val="3"/>
        </w:rPr>
        <w:t>and </w:t>
      </w:r>
      <w:r>
        <w:rPr>
          <w:color w:val="231F20"/>
          <w:spacing w:val="6"/>
        </w:rPr>
        <w:t>collect </w:t>
      </w:r>
      <w:r>
        <w:rPr>
          <w:color w:val="231F20"/>
        </w:rPr>
        <w:t>attorneys’ fees.</w:t>
      </w:r>
      <w:r>
        <w:rPr>
          <w:color w:val="231F20"/>
          <w:position w:val="7"/>
          <w:sz w:val="12"/>
        </w:rPr>
        <w:t>11 </w:t>
      </w:r>
      <w:r>
        <w:rPr>
          <w:color w:val="231F20"/>
          <w:spacing w:val="2"/>
        </w:rPr>
        <w:t>Mardella </w:t>
      </w:r>
      <w:r>
        <w:rPr>
          <w:color w:val="231F20"/>
        </w:rPr>
        <w:t>opposed, arguing</w:t>
      </w:r>
      <w:r>
        <w:rPr>
          <w:color w:val="231F20"/>
          <w:spacing w:val="-24"/>
        </w:rPr>
        <w:t> </w:t>
      </w:r>
      <w:r>
        <w:rPr>
          <w:color w:val="231F20"/>
        </w:rPr>
        <w:t>that</w:t>
      </w:r>
      <w:r>
        <w:rPr>
          <w:color w:val="231F20"/>
          <w:spacing w:val="-23"/>
        </w:rPr>
        <w:t> </w:t>
      </w:r>
      <w:r>
        <w:rPr>
          <w:color w:val="231F20"/>
          <w:spacing w:val="-3"/>
        </w:rPr>
        <w:t>Sandra’s</w:t>
      </w:r>
      <w:r>
        <w:rPr>
          <w:color w:val="231F20"/>
          <w:spacing w:val="-24"/>
        </w:rPr>
        <w:t> </w:t>
      </w:r>
      <w:r>
        <w:rPr>
          <w:color w:val="231F20"/>
        </w:rPr>
        <w:t>proposal</w:t>
      </w:r>
      <w:r>
        <w:rPr>
          <w:color w:val="231F20"/>
          <w:spacing w:val="-23"/>
        </w:rPr>
        <w:t> </w:t>
      </w:r>
      <w:r>
        <w:rPr>
          <w:color w:val="231F20"/>
        </w:rPr>
        <w:t>failed</w:t>
      </w:r>
      <w:r>
        <w:rPr>
          <w:color w:val="231F20"/>
          <w:spacing w:val="-24"/>
        </w:rPr>
        <w:t> </w:t>
      </w:r>
      <w:r>
        <w:rPr>
          <w:color w:val="231F20"/>
        </w:rPr>
        <w:t>to strictly comply with the e-mail service requirements of rule 2.516 of the Flor- ida Rules of Judicial Administration.</w:t>
      </w:r>
      <w:r>
        <w:rPr>
          <w:color w:val="231F20"/>
          <w:position w:val="7"/>
          <w:sz w:val="12"/>
        </w:rPr>
        <w:t>12 </w:t>
      </w:r>
      <w:r>
        <w:rPr>
          <w:color w:val="231F20"/>
          <w:spacing w:val="4"/>
        </w:rPr>
        <w:t>The trial court </w:t>
      </w:r>
      <w:r>
        <w:rPr>
          <w:color w:val="231F20"/>
          <w:spacing w:val="5"/>
        </w:rPr>
        <w:t>agreed, finding </w:t>
      </w:r>
      <w:r>
        <w:rPr>
          <w:color w:val="231F20"/>
          <w:spacing w:val="6"/>
        </w:rPr>
        <w:t>that </w:t>
      </w:r>
      <w:r>
        <w:rPr>
          <w:color w:val="231F20"/>
        </w:rPr>
        <w:t>Sandra’s</w:t>
      </w:r>
      <w:r>
        <w:rPr>
          <w:color w:val="231F20"/>
          <w:spacing w:val="-17"/>
        </w:rPr>
        <w:t> </w:t>
      </w:r>
      <w:r>
        <w:rPr>
          <w:color w:val="231F20"/>
        </w:rPr>
        <w:t>service</w:t>
      </w:r>
      <w:r>
        <w:rPr>
          <w:color w:val="231F20"/>
          <w:spacing w:val="-15"/>
        </w:rPr>
        <w:t> </w:t>
      </w:r>
      <w:r>
        <w:rPr>
          <w:color w:val="231F20"/>
        </w:rPr>
        <w:t>e-mail</w:t>
      </w:r>
      <w:r>
        <w:rPr>
          <w:color w:val="231F20"/>
          <w:spacing w:val="-17"/>
        </w:rPr>
        <w:t> </w:t>
      </w:r>
      <w:r>
        <w:rPr>
          <w:color w:val="231F20"/>
        </w:rPr>
        <w:t>did</w:t>
      </w:r>
      <w:r>
        <w:rPr>
          <w:color w:val="231F20"/>
          <w:spacing w:val="-16"/>
        </w:rPr>
        <w:t> </w:t>
      </w:r>
      <w:r>
        <w:rPr>
          <w:color w:val="231F20"/>
        </w:rPr>
        <w:t>not</w:t>
      </w:r>
      <w:r>
        <w:rPr>
          <w:color w:val="231F20"/>
          <w:spacing w:val="-17"/>
        </w:rPr>
        <w:t> </w:t>
      </w:r>
      <w:r>
        <w:rPr>
          <w:color w:val="231F20"/>
        </w:rPr>
        <w:t>include a</w:t>
      </w:r>
      <w:r>
        <w:rPr>
          <w:color w:val="231F20"/>
          <w:spacing w:val="-6"/>
        </w:rPr>
        <w:t> </w:t>
      </w:r>
      <w:r>
        <w:rPr>
          <w:color w:val="231F20"/>
        </w:rPr>
        <w:t>certificate</w:t>
      </w:r>
      <w:r>
        <w:rPr>
          <w:color w:val="231F20"/>
          <w:spacing w:val="-6"/>
        </w:rPr>
        <w:t> </w:t>
      </w:r>
      <w:r>
        <w:rPr>
          <w:color w:val="231F20"/>
        </w:rPr>
        <w:t>of</w:t>
      </w:r>
      <w:r>
        <w:rPr>
          <w:color w:val="231F20"/>
          <w:spacing w:val="-6"/>
        </w:rPr>
        <w:t> </w:t>
      </w:r>
      <w:r>
        <w:rPr>
          <w:color w:val="231F20"/>
        </w:rPr>
        <w:t>service</w:t>
      </w:r>
      <w:r>
        <w:rPr>
          <w:color w:val="231F20"/>
          <w:spacing w:val="-6"/>
        </w:rPr>
        <w:t> </w:t>
      </w:r>
      <w:r>
        <w:rPr>
          <w:color w:val="231F20"/>
        </w:rPr>
        <w:t>or</w:t>
      </w:r>
      <w:r>
        <w:rPr>
          <w:color w:val="231F20"/>
          <w:spacing w:val="-6"/>
        </w:rPr>
        <w:t> </w:t>
      </w:r>
      <w:r>
        <w:rPr>
          <w:color w:val="231F20"/>
        </w:rPr>
        <w:t>a</w:t>
      </w:r>
      <w:r>
        <w:rPr>
          <w:color w:val="231F20"/>
          <w:spacing w:val="-5"/>
        </w:rPr>
        <w:t> </w:t>
      </w:r>
      <w:r>
        <w:rPr>
          <w:color w:val="231F20"/>
        </w:rPr>
        <w:t>subject</w:t>
      </w:r>
      <w:r>
        <w:rPr>
          <w:color w:val="231F20"/>
          <w:spacing w:val="-6"/>
        </w:rPr>
        <w:t> </w:t>
      </w:r>
      <w:r>
        <w:rPr>
          <w:color w:val="231F20"/>
        </w:rPr>
        <w:t>line saying “SERVICE OF COURT</w:t>
      </w:r>
      <w:r>
        <w:rPr>
          <w:color w:val="231F20"/>
          <w:spacing w:val="-38"/>
        </w:rPr>
        <w:t> </w:t>
      </w:r>
      <w:r>
        <w:rPr>
          <w:color w:val="231F20"/>
        </w:rPr>
        <w:t>DOCU-</w:t>
      </w:r>
    </w:p>
    <w:p>
      <w:pPr>
        <w:pStyle w:val="BodyText"/>
        <w:spacing w:line="254" w:lineRule="auto"/>
        <w:ind w:left="130" w:right="46"/>
        <w:jc w:val="both"/>
        <w:rPr>
          <w:sz w:val="12"/>
        </w:rPr>
      </w:pPr>
      <w:r>
        <w:rPr>
          <w:color w:val="231F20"/>
        </w:rPr>
        <w:t>MENTS” and in other respects failed to</w:t>
      </w:r>
      <w:r>
        <w:rPr>
          <w:color w:val="231F20"/>
          <w:spacing w:val="-9"/>
        </w:rPr>
        <w:t> </w:t>
      </w:r>
      <w:r>
        <w:rPr>
          <w:color w:val="231F20"/>
        </w:rPr>
        <w:t>comply</w:t>
      </w:r>
      <w:r>
        <w:rPr>
          <w:color w:val="231F20"/>
          <w:spacing w:val="-8"/>
        </w:rPr>
        <w:t> </w:t>
      </w:r>
      <w:r>
        <w:rPr>
          <w:color w:val="231F20"/>
        </w:rPr>
        <w:t>with</w:t>
      </w:r>
      <w:r>
        <w:rPr>
          <w:color w:val="231F20"/>
          <w:spacing w:val="-8"/>
        </w:rPr>
        <w:t> </w:t>
      </w:r>
      <w:r>
        <w:rPr>
          <w:color w:val="231F20"/>
        </w:rPr>
        <w:t>rules</w:t>
      </w:r>
      <w:r>
        <w:rPr>
          <w:color w:val="231F20"/>
          <w:spacing w:val="-8"/>
        </w:rPr>
        <w:t> </w:t>
      </w:r>
      <w:r>
        <w:rPr>
          <w:color w:val="231F20"/>
        </w:rPr>
        <w:t>1.442</w:t>
      </w:r>
      <w:r>
        <w:rPr>
          <w:color w:val="231F20"/>
          <w:spacing w:val="-9"/>
        </w:rPr>
        <w:t> </w:t>
      </w:r>
      <w:r>
        <w:rPr>
          <w:color w:val="231F20"/>
        </w:rPr>
        <w:t>and</w:t>
      </w:r>
      <w:r>
        <w:rPr>
          <w:color w:val="231F20"/>
          <w:spacing w:val="-8"/>
        </w:rPr>
        <w:t> </w:t>
      </w:r>
      <w:r>
        <w:rPr>
          <w:color w:val="231F20"/>
        </w:rPr>
        <w:t>1.080</w:t>
      </w:r>
      <w:r>
        <w:rPr>
          <w:color w:val="231F20"/>
          <w:position w:val="7"/>
          <w:sz w:val="12"/>
        </w:rPr>
        <w:t>13 </w:t>
      </w:r>
      <w:r>
        <w:rPr>
          <w:color w:val="231F20"/>
        </w:rPr>
        <w:t>of the Florida Rules of Civil</w:t>
      </w:r>
      <w:r>
        <w:rPr>
          <w:color w:val="231F20"/>
          <w:spacing w:val="-22"/>
        </w:rPr>
        <w:t> </w:t>
      </w:r>
      <w:r>
        <w:rPr>
          <w:color w:val="231F20"/>
        </w:rPr>
        <w:t>Procedure and rule 2.516 of the Florida Rules of Judicial</w:t>
      </w:r>
      <w:r>
        <w:rPr>
          <w:color w:val="231F20"/>
          <w:spacing w:val="-12"/>
        </w:rPr>
        <w:t> </w:t>
      </w:r>
      <w:r>
        <w:rPr>
          <w:color w:val="231F20"/>
        </w:rPr>
        <w:t>Administration.</w:t>
      </w:r>
      <w:r>
        <w:rPr>
          <w:color w:val="231F20"/>
          <w:position w:val="7"/>
          <w:sz w:val="12"/>
        </w:rPr>
        <w:t>14</w:t>
      </w:r>
    </w:p>
    <w:p>
      <w:pPr>
        <w:pStyle w:val="BodyText"/>
        <w:spacing w:line="259" w:lineRule="auto" w:before="13"/>
        <w:ind w:left="129" w:right="43" w:firstLine="180"/>
        <w:jc w:val="both"/>
        <w:rPr>
          <w:sz w:val="12"/>
        </w:rPr>
      </w:pPr>
      <w:r>
        <w:rPr>
          <w:color w:val="231F20"/>
          <w:spacing w:val="5"/>
        </w:rPr>
        <w:t>Sandra </w:t>
      </w:r>
      <w:r>
        <w:rPr>
          <w:color w:val="231F20"/>
          <w:spacing w:val="4"/>
        </w:rPr>
        <w:t>appealed the trial court’s </w:t>
      </w:r>
      <w:r>
        <w:rPr>
          <w:color w:val="231F20"/>
        </w:rPr>
        <w:t>denial</w:t>
      </w:r>
      <w:r>
        <w:rPr>
          <w:color w:val="231F20"/>
          <w:spacing w:val="-20"/>
        </w:rPr>
        <w:t> </w:t>
      </w:r>
      <w:r>
        <w:rPr>
          <w:color w:val="231F20"/>
        </w:rPr>
        <w:t>of</w:t>
      </w:r>
      <w:r>
        <w:rPr>
          <w:color w:val="231F20"/>
          <w:spacing w:val="-19"/>
        </w:rPr>
        <w:t> </w:t>
      </w:r>
      <w:r>
        <w:rPr>
          <w:color w:val="231F20"/>
        </w:rPr>
        <w:t>her</w:t>
      </w:r>
      <w:r>
        <w:rPr>
          <w:color w:val="231F20"/>
          <w:spacing w:val="-19"/>
        </w:rPr>
        <w:t> </w:t>
      </w:r>
      <w:r>
        <w:rPr>
          <w:color w:val="231F20"/>
        </w:rPr>
        <w:t>motion</w:t>
      </w:r>
      <w:r>
        <w:rPr>
          <w:color w:val="231F20"/>
          <w:spacing w:val="-20"/>
        </w:rPr>
        <w:t> </w:t>
      </w:r>
      <w:r>
        <w:rPr>
          <w:color w:val="231F20"/>
        </w:rPr>
        <w:t>for</w:t>
      </w:r>
      <w:r>
        <w:rPr>
          <w:color w:val="231F20"/>
          <w:spacing w:val="-19"/>
        </w:rPr>
        <w:t> </w:t>
      </w:r>
      <w:r>
        <w:rPr>
          <w:color w:val="231F20"/>
        </w:rPr>
        <w:t>attorneys’</w:t>
      </w:r>
      <w:r>
        <w:rPr>
          <w:color w:val="231F20"/>
          <w:spacing w:val="-26"/>
        </w:rPr>
        <w:t> </w:t>
      </w:r>
      <w:r>
        <w:rPr>
          <w:color w:val="231F20"/>
        </w:rPr>
        <w:t>fees, arguing</w:t>
      </w:r>
      <w:r>
        <w:rPr>
          <w:color w:val="231F20"/>
          <w:spacing w:val="-20"/>
        </w:rPr>
        <w:t> </w:t>
      </w:r>
      <w:r>
        <w:rPr>
          <w:color w:val="231F20"/>
        </w:rPr>
        <w:t>that,</w:t>
      </w:r>
      <w:r>
        <w:rPr>
          <w:color w:val="231F20"/>
          <w:spacing w:val="-20"/>
        </w:rPr>
        <w:t> </w:t>
      </w:r>
      <w:r>
        <w:rPr>
          <w:color w:val="231F20"/>
        </w:rPr>
        <w:t>“because</w:t>
      </w:r>
      <w:r>
        <w:rPr>
          <w:color w:val="231F20"/>
          <w:spacing w:val="-20"/>
        </w:rPr>
        <w:t> </w:t>
      </w:r>
      <w:r>
        <w:rPr>
          <w:color w:val="231F20"/>
        </w:rPr>
        <w:t>the</w:t>
      </w:r>
      <w:r>
        <w:rPr>
          <w:color w:val="231F20"/>
          <w:spacing w:val="-20"/>
        </w:rPr>
        <w:t> </w:t>
      </w:r>
      <w:r>
        <w:rPr>
          <w:color w:val="231F20"/>
        </w:rPr>
        <w:t>proposal</w:t>
      </w:r>
      <w:r>
        <w:rPr>
          <w:color w:val="231F20"/>
          <w:spacing w:val="-20"/>
        </w:rPr>
        <w:t> </w:t>
      </w:r>
      <w:r>
        <w:rPr>
          <w:color w:val="231F20"/>
        </w:rPr>
        <w:t>for settlement is neither a pleading nor a ‘document filed in any court proceed- ing,’</w:t>
      </w:r>
      <w:r>
        <w:rPr>
          <w:color w:val="231F20"/>
          <w:spacing w:val="-29"/>
        </w:rPr>
        <w:t> </w:t>
      </w:r>
      <w:r>
        <w:rPr>
          <w:color w:val="231F20"/>
        </w:rPr>
        <w:t>it</w:t>
      </w:r>
      <w:r>
        <w:rPr>
          <w:color w:val="231F20"/>
          <w:spacing w:val="-22"/>
        </w:rPr>
        <w:t> </w:t>
      </w:r>
      <w:r>
        <w:rPr>
          <w:color w:val="231F20"/>
        </w:rPr>
        <w:t>is</w:t>
      </w:r>
      <w:r>
        <w:rPr>
          <w:color w:val="231F20"/>
          <w:spacing w:val="-21"/>
        </w:rPr>
        <w:t> </w:t>
      </w:r>
      <w:r>
        <w:rPr>
          <w:color w:val="231F20"/>
        </w:rPr>
        <w:t>not</w:t>
      </w:r>
      <w:r>
        <w:rPr>
          <w:color w:val="231F20"/>
          <w:spacing w:val="-22"/>
        </w:rPr>
        <w:t> </w:t>
      </w:r>
      <w:r>
        <w:rPr>
          <w:color w:val="231F20"/>
        </w:rPr>
        <w:t>subject</w:t>
      </w:r>
      <w:r>
        <w:rPr>
          <w:color w:val="231F20"/>
          <w:spacing w:val="-21"/>
        </w:rPr>
        <w:t> </w:t>
      </w:r>
      <w:r>
        <w:rPr>
          <w:color w:val="231F20"/>
        </w:rPr>
        <w:t>to</w:t>
      </w:r>
      <w:r>
        <w:rPr>
          <w:color w:val="231F20"/>
          <w:spacing w:val="-22"/>
        </w:rPr>
        <w:t> </w:t>
      </w:r>
      <w:r>
        <w:rPr>
          <w:color w:val="231F20"/>
        </w:rPr>
        <w:t>the</w:t>
      </w:r>
      <w:r>
        <w:rPr>
          <w:color w:val="231F20"/>
          <w:spacing w:val="-21"/>
        </w:rPr>
        <w:t> </w:t>
      </w:r>
      <w:r>
        <w:rPr>
          <w:color w:val="231F20"/>
          <w:spacing w:val="-2"/>
        </w:rPr>
        <w:t>requirements </w:t>
      </w:r>
      <w:r>
        <w:rPr>
          <w:color w:val="231F20"/>
          <w:spacing w:val="2"/>
        </w:rPr>
        <w:t>of </w:t>
      </w:r>
      <w:r>
        <w:rPr>
          <w:color w:val="231F20"/>
          <w:spacing w:val="3"/>
        </w:rPr>
        <w:t>rule </w:t>
      </w:r>
      <w:r>
        <w:rPr>
          <w:color w:val="231F20"/>
          <w:spacing w:val="4"/>
        </w:rPr>
        <w:t>2.516.”</w:t>
      </w:r>
      <w:r>
        <w:rPr>
          <w:color w:val="231F20"/>
          <w:spacing w:val="4"/>
          <w:position w:val="7"/>
          <w:sz w:val="12"/>
        </w:rPr>
        <w:t>15 </w:t>
      </w:r>
      <w:r>
        <w:rPr>
          <w:color w:val="231F20"/>
          <w:spacing w:val="4"/>
        </w:rPr>
        <w:t>Rejecting </w:t>
      </w:r>
      <w:r>
        <w:rPr>
          <w:color w:val="231F20"/>
          <w:spacing w:val="3"/>
        </w:rPr>
        <w:t>Sandra’s </w:t>
      </w:r>
      <w:r>
        <w:rPr>
          <w:color w:val="231F20"/>
        </w:rPr>
        <w:t>argument that the operative subdivi- sion was subdivision (a) of rule 2.516 (which instructs that “every pleading subsequent to the initial pleading and every</w:t>
      </w:r>
      <w:r>
        <w:rPr>
          <w:color w:val="231F20"/>
          <w:spacing w:val="-18"/>
        </w:rPr>
        <w:t> </w:t>
      </w:r>
      <w:r>
        <w:rPr>
          <w:color w:val="231F20"/>
        </w:rPr>
        <w:t>other</w:t>
      </w:r>
      <w:r>
        <w:rPr>
          <w:color w:val="231F20"/>
          <w:spacing w:val="-18"/>
        </w:rPr>
        <w:t> </w:t>
      </w:r>
      <w:r>
        <w:rPr>
          <w:color w:val="231F20"/>
        </w:rPr>
        <w:t>document</w:t>
      </w:r>
      <w:r>
        <w:rPr>
          <w:color w:val="231F20"/>
          <w:spacing w:val="-18"/>
        </w:rPr>
        <w:t> </w:t>
      </w:r>
      <w:r>
        <w:rPr>
          <w:color w:val="231F20"/>
        </w:rPr>
        <w:t>filed</w:t>
      </w:r>
      <w:r>
        <w:rPr>
          <w:color w:val="231F20"/>
          <w:spacing w:val="-16"/>
        </w:rPr>
        <w:t> </w:t>
      </w:r>
      <w:r>
        <w:rPr>
          <w:color w:val="231F20"/>
        </w:rPr>
        <w:t>in</w:t>
      </w:r>
      <w:r>
        <w:rPr>
          <w:color w:val="231F20"/>
          <w:spacing w:val="-18"/>
        </w:rPr>
        <w:t> </w:t>
      </w:r>
      <w:r>
        <w:rPr>
          <w:color w:val="231F20"/>
        </w:rPr>
        <w:t>any</w:t>
      </w:r>
      <w:r>
        <w:rPr>
          <w:color w:val="231F20"/>
          <w:spacing w:val="-18"/>
        </w:rPr>
        <w:t> </w:t>
      </w:r>
      <w:r>
        <w:rPr>
          <w:color w:val="231F20"/>
        </w:rPr>
        <w:t>court proceeding . . . must be served in ac- cordance</w:t>
      </w:r>
      <w:r>
        <w:rPr>
          <w:color w:val="231F20"/>
          <w:spacing w:val="-12"/>
        </w:rPr>
        <w:t> </w:t>
      </w:r>
      <w:r>
        <w:rPr>
          <w:color w:val="231F20"/>
        </w:rPr>
        <w:t>with</w:t>
      </w:r>
      <w:r>
        <w:rPr>
          <w:color w:val="231F20"/>
          <w:spacing w:val="-12"/>
        </w:rPr>
        <w:t> </w:t>
      </w:r>
      <w:r>
        <w:rPr>
          <w:color w:val="231F20"/>
        </w:rPr>
        <w:t>this</w:t>
      </w:r>
      <w:r>
        <w:rPr>
          <w:color w:val="231F20"/>
          <w:spacing w:val="-11"/>
        </w:rPr>
        <w:t> </w:t>
      </w:r>
      <w:r>
        <w:rPr>
          <w:color w:val="231F20"/>
        </w:rPr>
        <w:t>rule.</w:t>
      </w:r>
      <w:r>
        <w:rPr>
          <w:color w:val="231F20"/>
          <w:spacing w:val="-12"/>
        </w:rPr>
        <w:t> </w:t>
      </w:r>
      <w:r>
        <w:rPr>
          <w:color w:val="231F20"/>
        </w:rPr>
        <w:t>.</w:t>
      </w:r>
      <w:r>
        <w:rPr>
          <w:color w:val="231F20"/>
          <w:spacing w:val="-11"/>
        </w:rPr>
        <w:t> </w:t>
      </w:r>
      <w:r>
        <w:rPr>
          <w:color w:val="231F20"/>
        </w:rPr>
        <w:t>.”),</w:t>
      </w:r>
      <w:r>
        <w:rPr>
          <w:color w:val="231F20"/>
          <w:position w:val="7"/>
          <w:sz w:val="12"/>
        </w:rPr>
        <w:t>16</w:t>
      </w:r>
      <w:r>
        <w:rPr>
          <w:color w:val="231F20"/>
          <w:spacing w:val="11"/>
          <w:position w:val="7"/>
          <w:sz w:val="12"/>
        </w:rPr>
        <w:t> </w:t>
      </w:r>
      <w:r>
        <w:rPr>
          <w:color w:val="231F20"/>
        </w:rPr>
        <w:t>the</w:t>
      </w:r>
      <w:r>
        <w:rPr>
          <w:color w:val="231F20"/>
          <w:spacing w:val="-15"/>
        </w:rPr>
        <w:t> </w:t>
      </w:r>
      <w:r>
        <w:rPr>
          <w:color w:val="231F20"/>
        </w:rPr>
        <w:t>Third </w:t>
      </w:r>
      <w:r>
        <w:rPr>
          <w:color w:val="231F20"/>
          <w:spacing w:val="2"/>
        </w:rPr>
        <w:t>District held </w:t>
      </w:r>
      <w:r>
        <w:rPr>
          <w:color w:val="231F20"/>
        </w:rPr>
        <w:t>the </w:t>
      </w:r>
      <w:r>
        <w:rPr>
          <w:color w:val="231F20"/>
          <w:spacing w:val="2"/>
        </w:rPr>
        <w:t>operative </w:t>
      </w:r>
      <w:r>
        <w:rPr>
          <w:color w:val="231F20"/>
          <w:spacing w:val="3"/>
        </w:rPr>
        <w:t>language </w:t>
      </w:r>
      <w:r>
        <w:rPr>
          <w:color w:val="231F20"/>
        </w:rPr>
        <w:t>was</w:t>
      </w:r>
      <w:r>
        <w:rPr>
          <w:color w:val="231F20"/>
          <w:spacing w:val="-26"/>
        </w:rPr>
        <w:t> </w:t>
      </w:r>
      <w:r>
        <w:rPr>
          <w:color w:val="231F20"/>
        </w:rPr>
        <w:t>subdivision</w:t>
      </w:r>
      <w:r>
        <w:rPr>
          <w:color w:val="231F20"/>
          <w:spacing w:val="-25"/>
        </w:rPr>
        <w:t> </w:t>
      </w:r>
      <w:r>
        <w:rPr>
          <w:color w:val="231F20"/>
        </w:rPr>
        <w:t>(b)</w:t>
      </w:r>
      <w:r>
        <w:rPr>
          <w:color w:val="231F20"/>
          <w:spacing w:val="-25"/>
        </w:rPr>
        <w:t> </w:t>
      </w:r>
      <w:r>
        <w:rPr>
          <w:color w:val="231F20"/>
        </w:rPr>
        <w:t>of</w:t>
      </w:r>
      <w:r>
        <w:rPr>
          <w:color w:val="231F20"/>
          <w:spacing w:val="-25"/>
        </w:rPr>
        <w:t> </w:t>
      </w:r>
      <w:r>
        <w:rPr>
          <w:color w:val="231F20"/>
        </w:rPr>
        <w:t>rule</w:t>
      </w:r>
      <w:r>
        <w:rPr>
          <w:color w:val="231F20"/>
          <w:spacing w:val="-26"/>
        </w:rPr>
        <w:t> </w:t>
      </w:r>
      <w:r>
        <w:rPr>
          <w:color w:val="231F20"/>
        </w:rPr>
        <w:t>2.516</w:t>
      </w:r>
      <w:r>
        <w:rPr>
          <w:color w:val="231F20"/>
          <w:spacing w:val="-25"/>
        </w:rPr>
        <w:t> </w:t>
      </w:r>
      <w:r>
        <w:rPr>
          <w:color w:val="231F20"/>
        </w:rPr>
        <w:t>(which states that “[a]ll documents required </w:t>
      </w:r>
      <w:r>
        <w:rPr>
          <w:i/>
          <w:color w:val="231F20"/>
        </w:rPr>
        <w:t>or permitted to be served </w:t>
      </w:r>
      <w:r>
        <w:rPr>
          <w:color w:val="231F20"/>
        </w:rPr>
        <w:t>on another party </w:t>
      </w:r>
      <w:r>
        <w:rPr>
          <w:i/>
          <w:color w:val="231F20"/>
        </w:rPr>
        <w:t>must be served by e-mail. . .”).</w:t>
      </w:r>
      <w:r>
        <w:rPr>
          <w:color w:val="231F20"/>
          <w:position w:val="7"/>
          <w:sz w:val="12"/>
        </w:rPr>
        <w:t>17 </w:t>
      </w:r>
      <w:r>
        <w:rPr>
          <w:color w:val="231F20"/>
        </w:rPr>
        <w:t>The district court went on to hold that, because the proposal for settlement was</w:t>
      </w:r>
      <w:r>
        <w:rPr>
          <w:color w:val="231F20"/>
          <w:spacing w:val="-22"/>
        </w:rPr>
        <w:t> </w:t>
      </w:r>
      <w:r>
        <w:rPr>
          <w:color w:val="231F20"/>
        </w:rPr>
        <w:t>“permitted</w:t>
      </w:r>
      <w:r>
        <w:rPr>
          <w:color w:val="231F20"/>
          <w:spacing w:val="-22"/>
        </w:rPr>
        <w:t> </w:t>
      </w:r>
      <w:r>
        <w:rPr>
          <w:color w:val="231F20"/>
        </w:rPr>
        <w:t>to</w:t>
      </w:r>
      <w:r>
        <w:rPr>
          <w:color w:val="231F20"/>
          <w:spacing w:val="-22"/>
        </w:rPr>
        <w:t> </w:t>
      </w:r>
      <w:r>
        <w:rPr>
          <w:color w:val="231F20"/>
        </w:rPr>
        <w:t>be</w:t>
      </w:r>
      <w:r>
        <w:rPr>
          <w:color w:val="231F20"/>
          <w:spacing w:val="-21"/>
        </w:rPr>
        <w:t> </w:t>
      </w:r>
      <w:r>
        <w:rPr>
          <w:color w:val="231F20"/>
        </w:rPr>
        <w:t>served</w:t>
      </w:r>
      <w:r>
        <w:rPr>
          <w:color w:val="231F20"/>
          <w:spacing w:val="-22"/>
        </w:rPr>
        <w:t> </w:t>
      </w:r>
      <w:r>
        <w:rPr>
          <w:color w:val="231F20"/>
        </w:rPr>
        <w:t>on</w:t>
      </w:r>
      <w:r>
        <w:rPr>
          <w:color w:val="231F20"/>
          <w:spacing w:val="-22"/>
        </w:rPr>
        <w:t> </w:t>
      </w:r>
      <w:r>
        <w:rPr>
          <w:color w:val="231F20"/>
        </w:rPr>
        <w:t>another </w:t>
      </w:r>
      <w:r>
        <w:rPr>
          <w:color w:val="231F20"/>
          <w:spacing w:val="-3"/>
        </w:rPr>
        <w:t>party,” </w:t>
      </w:r>
      <w:r>
        <w:rPr>
          <w:color w:val="231F20"/>
        </w:rPr>
        <w:t>it “must be served by e-mail,” pursuant</w:t>
      </w:r>
      <w:r>
        <w:rPr>
          <w:color w:val="231F20"/>
          <w:spacing w:val="-22"/>
        </w:rPr>
        <w:t> </w:t>
      </w:r>
      <w:r>
        <w:rPr>
          <w:color w:val="231F20"/>
        </w:rPr>
        <w:t>to</w:t>
      </w:r>
      <w:r>
        <w:rPr>
          <w:color w:val="231F20"/>
          <w:spacing w:val="-21"/>
        </w:rPr>
        <w:t> </w:t>
      </w:r>
      <w:r>
        <w:rPr>
          <w:color w:val="231F20"/>
        </w:rPr>
        <w:t>rule</w:t>
      </w:r>
      <w:r>
        <w:rPr>
          <w:color w:val="231F20"/>
          <w:spacing w:val="-21"/>
        </w:rPr>
        <w:t> </w:t>
      </w:r>
      <w:r>
        <w:rPr>
          <w:color w:val="231F20"/>
        </w:rPr>
        <w:t>2.516(b),</w:t>
      </w:r>
      <w:r>
        <w:rPr>
          <w:color w:val="231F20"/>
          <w:spacing w:val="-22"/>
        </w:rPr>
        <w:t> </w:t>
      </w:r>
      <w:r>
        <w:rPr>
          <w:color w:val="231F20"/>
        </w:rPr>
        <w:t>regardless</w:t>
      </w:r>
      <w:r>
        <w:rPr>
          <w:color w:val="231F20"/>
          <w:spacing w:val="-21"/>
        </w:rPr>
        <w:t> </w:t>
      </w:r>
      <w:r>
        <w:rPr>
          <w:color w:val="231F20"/>
        </w:rPr>
        <w:t>of whether the document was also being filed with the</w:t>
      </w:r>
      <w:r>
        <w:rPr>
          <w:color w:val="231F20"/>
          <w:spacing w:val="-2"/>
        </w:rPr>
        <w:t> </w:t>
      </w:r>
      <w:r>
        <w:rPr>
          <w:color w:val="231F20"/>
        </w:rPr>
        <w:t>court.</w:t>
      </w:r>
      <w:r>
        <w:rPr>
          <w:color w:val="231F20"/>
          <w:position w:val="7"/>
          <w:sz w:val="12"/>
        </w:rPr>
        <w:t>18</w:t>
      </w:r>
    </w:p>
    <w:p>
      <w:pPr>
        <w:spacing w:line="259" w:lineRule="auto" w:before="34"/>
        <w:ind w:left="129" w:right="45" w:firstLine="180"/>
        <w:jc w:val="both"/>
        <w:rPr>
          <w:sz w:val="20"/>
        </w:rPr>
      </w:pPr>
      <w:r>
        <w:rPr>
          <w:color w:val="231F20"/>
          <w:sz w:val="20"/>
        </w:rPr>
        <w:t>Sandra</w:t>
      </w:r>
      <w:r>
        <w:rPr>
          <w:color w:val="231F20"/>
          <w:spacing w:val="-24"/>
          <w:sz w:val="20"/>
        </w:rPr>
        <w:t> </w:t>
      </w:r>
      <w:r>
        <w:rPr>
          <w:color w:val="231F20"/>
          <w:sz w:val="20"/>
        </w:rPr>
        <w:t>moved</w:t>
      </w:r>
      <w:r>
        <w:rPr>
          <w:color w:val="231F20"/>
          <w:spacing w:val="-24"/>
          <w:sz w:val="20"/>
        </w:rPr>
        <w:t> </w:t>
      </w:r>
      <w:r>
        <w:rPr>
          <w:color w:val="231F20"/>
          <w:sz w:val="20"/>
        </w:rPr>
        <w:t>for</w:t>
      </w:r>
      <w:r>
        <w:rPr>
          <w:color w:val="231F20"/>
          <w:spacing w:val="-24"/>
          <w:sz w:val="20"/>
        </w:rPr>
        <w:t> </w:t>
      </w:r>
      <w:r>
        <w:rPr>
          <w:color w:val="231F20"/>
          <w:sz w:val="20"/>
        </w:rPr>
        <w:t>rehearing,</w:t>
      </w:r>
      <w:r>
        <w:rPr>
          <w:color w:val="231F20"/>
          <w:spacing w:val="-24"/>
          <w:sz w:val="20"/>
        </w:rPr>
        <w:t> </w:t>
      </w:r>
      <w:r>
        <w:rPr>
          <w:color w:val="231F20"/>
          <w:sz w:val="20"/>
        </w:rPr>
        <w:t>arguing that the district court’s decision con- flicted</w:t>
      </w:r>
      <w:r>
        <w:rPr>
          <w:color w:val="231F20"/>
          <w:spacing w:val="-25"/>
          <w:sz w:val="20"/>
        </w:rPr>
        <w:t> </w:t>
      </w:r>
      <w:r>
        <w:rPr>
          <w:color w:val="231F20"/>
          <w:sz w:val="20"/>
        </w:rPr>
        <w:t>with</w:t>
      </w:r>
      <w:r>
        <w:rPr>
          <w:color w:val="231F20"/>
          <w:spacing w:val="-24"/>
          <w:sz w:val="20"/>
        </w:rPr>
        <w:t> </w:t>
      </w:r>
      <w:r>
        <w:rPr>
          <w:color w:val="231F20"/>
          <w:sz w:val="20"/>
        </w:rPr>
        <w:t>the</w:t>
      </w:r>
      <w:r>
        <w:rPr>
          <w:color w:val="231F20"/>
          <w:spacing w:val="-24"/>
          <w:sz w:val="20"/>
        </w:rPr>
        <w:t> </w:t>
      </w:r>
      <w:r>
        <w:rPr>
          <w:color w:val="231F20"/>
          <w:sz w:val="20"/>
        </w:rPr>
        <w:t>Florida</w:t>
      </w:r>
      <w:r>
        <w:rPr>
          <w:color w:val="231F20"/>
          <w:spacing w:val="-24"/>
          <w:sz w:val="20"/>
        </w:rPr>
        <w:t> </w:t>
      </w:r>
      <w:r>
        <w:rPr>
          <w:color w:val="231F20"/>
          <w:sz w:val="20"/>
        </w:rPr>
        <w:t>Supreme</w:t>
      </w:r>
      <w:r>
        <w:rPr>
          <w:color w:val="231F20"/>
          <w:spacing w:val="-24"/>
          <w:sz w:val="20"/>
        </w:rPr>
        <w:t> </w:t>
      </w:r>
      <w:r>
        <w:rPr>
          <w:color w:val="231F20"/>
          <w:spacing w:val="-3"/>
          <w:sz w:val="20"/>
        </w:rPr>
        <w:t>Court’s decision</w:t>
      </w:r>
      <w:r>
        <w:rPr>
          <w:color w:val="231F20"/>
          <w:spacing w:val="-22"/>
          <w:sz w:val="20"/>
        </w:rPr>
        <w:t> </w:t>
      </w:r>
      <w:r>
        <w:rPr>
          <w:color w:val="231F20"/>
          <w:sz w:val="20"/>
        </w:rPr>
        <w:t>in</w:t>
      </w:r>
      <w:r>
        <w:rPr>
          <w:color w:val="231F20"/>
          <w:spacing w:val="-22"/>
          <w:sz w:val="20"/>
        </w:rPr>
        <w:t> </w:t>
      </w:r>
      <w:r>
        <w:rPr>
          <w:i/>
          <w:color w:val="231F20"/>
          <w:sz w:val="20"/>
        </w:rPr>
        <w:t>Kuhajda</w:t>
      </w:r>
      <w:r>
        <w:rPr>
          <w:i/>
          <w:color w:val="231F20"/>
          <w:spacing w:val="-21"/>
          <w:sz w:val="20"/>
        </w:rPr>
        <w:t> </w:t>
      </w:r>
      <w:r>
        <w:rPr>
          <w:i/>
          <w:color w:val="231F20"/>
          <w:spacing w:val="-9"/>
          <w:sz w:val="20"/>
        </w:rPr>
        <w:t>v.</w:t>
      </w:r>
      <w:r>
        <w:rPr>
          <w:i/>
          <w:color w:val="231F20"/>
          <w:spacing w:val="-20"/>
          <w:sz w:val="20"/>
        </w:rPr>
        <w:t> </w:t>
      </w:r>
      <w:r>
        <w:rPr>
          <w:i/>
          <w:color w:val="231F20"/>
          <w:sz w:val="20"/>
        </w:rPr>
        <w:t>Borden</w:t>
      </w:r>
      <w:r>
        <w:rPr>
          <w:i/>
          <w:color w:val="231F20"/>
          <w:spacing w:val="-21"/>
          <w:sz w:val="20"/>
        </w:rPr>
        <w:t> </w:t>
      </w:r>
      <w:r>
        <w:rPr>
          <w:i/>
          <w:color w:val="231F20"/>
          <w:spacing w:val="-3"/>
          <w:sz w:val="20"/>
        </w:rPr>
        <w:t>Dairy</w:t>
      </w:r>
      <w:r>
        <w:rPr>
          <w:i/>
          <w:color w:val="231F20"/>
          <w:spacing w:val="-22"/>
          <w:sz w:val="20"/>
        </w:rPr>
        <w:t> </w:t>
      </w:r>
      <w:r>
        <w:rPr>
          <w:i/>
          <w:color w:val="231F20"/>
          <w:spacing w:val="-3"/>
          <w:sz w:val="20"/>
        </w:rPr>
        <w:t>Co. </w:t>
      </w:r>
      <w:r>
        <w:rPr>
          <w:i/>
          <w:color w:val="231F20"/>
          <w:sz w:val="20"/>
        </w:rPr>
        <w:t>of Alabama, LLC,</w:t>
      </w:r>
      <w:r>
        <w:rPr>
          <w:color w:val="231F20"/>
          <w:position w:val="7"/>
          <w:sz w:val="12"/>
        </w:rPr>
        <w:t>19 </w:t>
      </w:r>
      <w:r>
        <w:rPr>
          <w:color w:val="231F20"/>
          <w:sz w:val="20"/>
        </w:rPr>
        <w:t>filed after the</w:t>
      </w:r>
      <w:r>
        <w:rPr>
          <w:color w:val="231F20"/>
          <w:spacing w:val="-35"/>
          <w:sz w:val="20"/>
        </w:rPr>
        <w:t> </w:t>
      </w:r>
      <w:r>
        <w:rPr>
          <w:color w:val="231F20"/>
          <w:sz w:val="20"/>
        </w:rPr>
        <w:t>brief- ing in </w:t>
      </w:r>
      <w:r>
        <w:rPr>
          <w:i/>
          <w:color w:val="231F20"/>
          <w:sz w:val="20"/>
        </w:rPr>
        <w:t>Wheaton </w:t>
      </w:r>
      <w:r>
        <w:rPr>
          <w:color w:val="231F20"/>
          <w:sz w:val="20"/>
        </w:rPr>
        <w:t>was complete</w:t>
      </w:r>
      <w:r>
        <w:rPr>
          <w:i/>
          <w:color w:val="231F20"/>
          <w:sz w:val="20"/>
        </w:rPr>
        <w:t>.</w:t>
      </w:r>
      <w:r>
        <w:rPr>
          <w:color w:val="231F20"/>
          <w:position w:val="7"/>
          <w:sz w:val="12"/>
        </w:rPr>
        <w:t>20 </w:t>
      </w:r>
      <w:r>
        <w:rPr>
          <w:color w:val="231F20"/>
          <w:sz w:val="20"/>
        </w:rPr>
        <w:t>The Third</w:t>
      </w:r>
      <w:r>
        <w:rPr>
          <w:color w:val="231F20"/>
          <w:spacing w:val="-27"/>
          <w:sz w:val="20"/>
        </w:rPr>
        <w:t> </w:t>
      </w:r>
      <w:r>
        <w:rPr>
          <w:color w:val="231F20"/>
          <w:sz w:val="20"/>
        </w:rPr>
        <w:t>District</w:t>
      </w:r>
      <w:r>
        <w:rPr>
          <w:color w:val="231F20"/>
          <w:spacing w:val="-27"/>
          <w:sz w:val="20"/>
        </w:rPr>
        <w:t> </w:t>
      </w:r>
      <w:r>
        <w:rPr>
          <w:color w:val="231F20"/>
          <w:sz w:val="20"/>
        </w:rPr>
        <w:t>summarily</w:t>
      </w:r>
      <w:r>
        <w:rPr>
          <w:color w:val="231F20"/>
          <w:spacing w:val="-27"/>
          <w:sz w:val="20"/>
        </w:rPr>
        <w:t> </w:t>
      </w:r>
      <w:r>
        <w:rPr>
          <w:color w:val="231F20"/>
          <w:sz w:val="20"/>
        </w:rPr>
        <w:t>denied</w:t>
      </w:r>
      <w:r>
        <w:rPr>
          <w:color w:val="231F20"/>
          <w:spacing w:val="-27"/>
          <w:sz w:val="20"/>
        </w:rPr>
        <w:t> </w:t>
      </w:r>
      <w:r>
        <w:rPr>
          <w:color w:val="231F20"/>
          <w:sz w:val="20"/>
        </w:rPr>
        <w:t>the</w:t>
      </w:r>
      <w:r>
        <w:rPr>
          <w:color w:val="231F20"/>
          <w:spacing w:val="-27"/>
          <w:sz w:val="20"/>
        </w:rPr>
        <w:t> </w:t>
      </w:r>
      <w:r>
        <w:rPr>
          <w:color w:val="231F20"/>
          <w:sz w:val="20"/>
        </w:rPr>
        <w:t>mo-</w:t>
      </w:r>
    </w:p>
    <w:p>
      <w:pPr>
        <w:pStyle w:val="BodyText"/>
        <w:spacing w:line="254" w:lineRule="auto" w:before="78"/>
        <w:ind w:left="120" w:right="47"/>
        <w:jc w:val="both"/>
        <w:rPr>
          <w:sz w:val="12"/>
        </w:rPr>
      </w:pPr>
      <w:r>
        <w:rPr/>
        <w:br w:type="column"/>
      </w:r>
      <w:r>
        <w:rPr>
          <w:color w:val="231F20"/>
        </w:rPr>
        <w:t>tion, and the Supreme Court</w:t>
      </w:r>
      <w:r>
        <w:rPr>
          <w:color w:val="231F20"/>
          <w:spacing w:val="-36"/>
        </w:rPr>
        <w:t> </w:t>
      </w:r>
      <w:r>
        <w:rPr>
          <w:color w:val="231F20"/>
        </w:rPr>
        <w:t>accepted the</w:t>
      </w:r>
      <w:r>
        <w:rPr>
          <w:color w:val="231F20"/>
          <w:spacing w:val="-14"/>
        </w:rPr>
        <w:t> </w:t>
      </w:r>
      <w:r>
        <w:rPr>
          <w:color w:val="231F20"/>
        </w:rPr>
        <w:t>appeal</w:t>
      </w:r>
      <w:r>
        <w:rPr>
          <w:color w:val="231F20"/>
          <w:spacing w:val="-13"/>
        </w:rPr>
        <w:t> </w:t>
      </w:r>
      <w:r>
        <w:rPr>
          <w:color w:val="231F20"/>
        </w:rPr>
        <w:t>to</w:t>
      </w:r>
      <w:r>
        <w:rPr>
          <w:color w:val="231F20"/>
          <w:spacing w:val="-13"/>
        </w:rPr>
        <w:t> </w:t>
      </w:r>
      <w:r>
        <w:rPr>
          <w:color w:val="231F20"/>
        </w:rPr>
        <w:t>resolve</w:t>
      </w:r>
      <w:r>
        <w:rPr>
          <w:color w:val="231F20"/>
          <w:spacing w:val="-13"/>
        </w:rPr>
        <w:t> </w:t>
      </w:r>
      <w:r>
        <w:rPr>
          <w:color w:val="231F20"/>
        </w:rPr>
        <w:t>the</w:t>
      </w:r>
      <w:r>
        <w:rPr>
          <w:color w:val="231F20"/>
          <w:spacing w:val="-13"/>
        </w:rPr>
        <w:t> </w:t>
      </w:r>
      <w:r>
        <w:rPr>
          <w:color w:val="231F20"/>
        </w:rPr>
        <w:t>district</w:t>
      </w:r>
      <w:r>
        <w:rPr>
          <w:color w:val="231F20"/>
          <w:spacing w:val="-13"/>
        </w:rPr>
        <w:t> </w:t>
      </w:r>
      <w:r>
        <w:rPr>
          <w:color w:val="231F20"/>
        </w:rPr>
        <w:t>split.</w:t>
      </w:r>
      <w:r>
        <w:rPr>
          <w:color w:val="231F20"/>
          <w:position w:val="7"/>
          <w:sz w:val="12"/>
        </w:rPr>
        <w:t>21</w:t>
      </w:r>
    </w:p>
    <w:p>
      <w:pPr>
        <w:pStyle w:val="BodyText"/>
        <w:spacing w:before="6"/>
      </w:pPr>
    </w:p>
    <w:p>
      <w:pPr>
        <w:spacing w:line="230" w:lineRule="auto" w:before="0"/>
        <w:ind w:left="120" w:right="121" w:firstLine="0"/>
        <w:jc w:val="both"/>
        <w:rPr>
          <w:b/>
          <w:sz w:val="24"/>
        </w:rPr>
      </w:pPr>
      <w:r>
        <w:rPr>
          <w:b/>
          <w:color w:val="231F20"/>
          <w:sz w:val="24"/>
        </w:rPr>
        <w:t>The Florida Supreme </w:t>
      </w:r>
      <w:r>
        <w:rPr>
          <w:b/>
          <w:color w:val="231F20"/>
          <w:spacing w:val="-5"/>
          <w:sz w:val="24"/>
        </w:rPr>
        <w:t>Court’s </w:t>
      </w:r>
      <w:r>
        <w:rPr>
          <w:b/>
          <w:color w:val="231F20"/>
          <w:sz w:val="24"/>
        </w:rPr>
        <w:t>Analysis</w:t>
      </w:r>
    </w:p>
    <w:p>
      <w:pPr>
        <w:pStyle w:val="BodyText"/>
        <w:spacing w:line="254" w:lineRule="auto" w:before="68"/>
        <w:ind w:left="120" w:right="43" w:firstLine="180"/>
        <w:jc w:val="both"/>
      </w:pPr>
      <w:r>
        <w:rPr>
          <w:color w:val="231F20"/>
        </w:rPr>
        <w:t>The</w:t>
      </w:r>
      <w:r>
        <w:rPr>
          <w:color w:val="231F20"/>
          <w:spacing w:val="-14"/>
        </w:rPr>
        <w:t> </w:t>
      </w:r>
      <w:r>
        <w:rPr>
          <w:color w:val="231F20"/>
        </w:rPr>
        <w:t>issue</w:t>
      </w:r>
      <w:r>
        <w:rPr>
          <w:color w:val="231F20"/>
          <w:spacing w:val="-15"/>
        </w:rPr>
        <w:t> </w:t>
      </w:r>
      <w:r>
        <w:rPr>
          <w:color w:val="231F20"/>
        </w:rPr>
        <w:t>before</w:t>
      </w:r>
      <w:r>
        <w:rPr>
          <w:color w:val="231F20"/>
          <w:spacing w:val="-14"/>
        </w:rPr>
        <w:t> </w:t>
      </w:r>
      <w:r>
        <w:rPr>
          <w:color w:val="231F20"/>
        </w:rPr>
        <w:t>the</w:t>
      </w:r>
      <w:r>
        <w:rPr>
          <w:color w:val="231F20"/>
          <w:spacing w:val="-14"/>
        </w:rPr>
        <w:t> </w:t>
      </w:r>
      <w:r>
        <w:rPr>
          <w:color w:val="231F20"/>
        </w:rPr>
        <w:t>Supreme</w:t>
      </w:r>
      <w:r>
        <w:rPr>
          <w:color w:val="231F20"/>
          <w:spacing w:val="-13"/>
        </w:rPr>
        <w:t> </w:t>
      </w:r>
      <w:r>
        <w:rPr>
          <w:color w:val="231F20"/>
        </w:rPr>
        <w:t>Court was whether proposals for settlement made pursuant to section 768.79 and rule</w:t>
      </w:r>
      <w:r>
        <w:rPr>
          <w:color w:val="231F20"/>
          <w:spacing w:val="-12"/>
        </w:rPr>
        <w:t> </w:t>
      </w:r>
      <w:r>
        <w:rPr>
          <w:color w:val="231F20"/>
        </w:rPr>
        <w:t>1.442</w:t>
      </w:r>
      <w:r>
        <w:rPr>
          <w:color w:val="231F20"/>
          <w:spacing w:val="-11"/>
        </w:rPr>
        <w:t> </w:t>
      </w:r>
      <w:r>
        <w:rPr>
          <w:color w:val="231F20"/>
        </w:rPr>
        <w:t>must</w:t>
      </w:r>
      <w:r>
        <w:rPr>
          <w:color w:val="231F20"/>
          <w:spacing w:val="-11"/>
        </w:rPr>
        <w:t> </w:t>
      </w:r>
      <w:r>
        <w:rPr>
          <w:color w:val="231F20"/>
        </w:rPr>
        <w:t>comply</w:t>
      </w:r>
      <w:r>
        <w:rPr>
          <w:color w:val="231F20"/>
          <w:spacing w:val="-11"/>
        </w:rPr>
        <w:t> </w:t>
      </w:r>
      <w:r>
        <w:rPr>
          <w:color w:val="231F20"/>
        </w:rPr>
        <w:t>with</w:t>
      </w:r>
      <w:r>
        <w:rPr>
          <w:color w:val="231F20"/>
          <w:spacing w:val="-11"/>
        </w:rPr>
        <w:t> </w:t>
      </w:r>
      <w:r>
        <w:rPr>
          <w:color w:val="231F20"/>
        </w:rPr>
        <w:t>the</w:t>
      </w:r>
      <w:r>
        <w:rPr>
          <w:color w:val="231F20"/>
          <w:spacing w:val="-11"/>
        </w:rPr>
        <w:t> </w:t>
      </w:r>
      <w:r>
        <w:rPr>
          <w:color w:val="231F20"/>
        </w:rPr>
        <w:t>e-mail service provisions of rule 2.516 of the Florida Rules of Judicial Administra- </w:t>
      </w:r>
      <w:r>
        <w:rPr>
          <w:color w:val="231F20"/>
          <w:spacing w:val="2"/>
        </w:rPr>
        <w:t>tion.</w:t>
      </w:r>
      <w:r>
        <w:rPr>
          <w:color w:val="231F20"/>
          <w:spacing w:val="2"/>
          <w:position w:val="7"/>
          <w:sz w:val="12"/>
        </w:rPr>
        <w:t>22 </w:t>
      </w:r>
      <w:r>
        <w:rPr>
          <w:color w:val="231F20"/>
        </w:rPr>
        <w:t>The </w:t>
      </w:r>
      <w:r>
        <w:rPr>
          <w:color w:val="231F20"/>
          <w:spacing w:val="2"/>
        </w:rPr>
        <w:t>Court began </w:t>
      </w:r>
      <w:r>
        <w:rPr>
          <w:color w:val="231F20"/>
        </w:rPr>
        <w:t>its </w:t>
      </w:r>
      <w:r>
        <w:rPr>
          <w:color w:val="231F20"/>
          <w:spacing w:val="3"/>
        </w:rPr>
        <w:t>analysis </w:t>
      </w:r>
      <w:r>
        <w:rPr>
          <w:color w:val="231F20"/>
        </w:rPr>
        <w:t>by reciting the relevant rules and the statute:</w:t>
      </w:r>
    </w:p>
    <w:p>
      <w:pPr>
        <w:pStyle w:val="ListParagraph"/>
        <w:numPr>
          <w:ilvl w:val="0"/>
          <w:numId w:val="5"/>
        </w:numPr>
        <w:tabs>
          <w:tab w:pos="541" w:val="left" w:leader="none"/>
        </w:tabs>
        <w:spacing w:line="254" w:lineRule="auto" w:before="26" w:after="0"/>
        <w:ind w:left="540" w:right="41" w:hanging="240"/>
        <w:jc w:val="both"/>
        <w:rPr>
          <w:sz w:val="12"/>
        </w:rPr>
      </w:pPr>
      <w:r>
        <w:rPr>
          <w:color w:val="231F20"/>
          <w:sz w:val="20"/>
        </w:rPr>
        <w:t>Section</w:t>
      </w:r>
      <w:r>
        <w:rPr>
          <w:color w:val="231F20"/>
          <w:spacing w:val="-21"/>
          <w:sz w:val="20"/>
        </w:rPr>
        <w:t> </w:t>
      </w:r>
      <w:r>
        <w:rPr>
          <w:color w:val="231F20"/>
          <w:sz w:val="20"/>
        </w:rPr>
        <w:t>768.79</w:t>
      </w:r>
      <w:r>
        <w:rPr>
          <w:color w:val="231F20"/>
          <w:spacing w:val="-20"/>
          <w:sz w:val="20"/>
        </w:rPr>
        <w:t> </w:t>
      </w:r>
      <w:r>
        <w:rPr>
          <w:color w:val="231F20"/>
          <w:sz w:val="20"/>
        </w:rPr>
        <w:t>of</w:t>
      </w:r>
      <w:r>
        <w:rPr>
          <w:color w:val="231F20"/>
          <w:spacing w:val="-21"/>
          <w:sz w:val="20"/>
        </w:rPr>
        <w:t> </w:t>
      </w:r>
      <w:r>
        <w:rPr>
          <w:color w:val="231F20"/>
          <w:sz w:val="20"/>
        </w:rPr>
        <w:t>the</w:t>
      </w:r>
      <w:r>
        <w:rPr>
          <w:color w:val="231F20"/>
          <w:spacing w:val="-20"/>
          <w:sz w:val="20"/>
        </w:rPr>
        <w:t> </w:t>
      </w:r>
      <w:r>
        <w:rPr>
          <w:color w:val="231F20"/>
          <w:sz w:val="20"/>
        </w:rPr>
        <w:t>Florida</w:t>
      </w:r>
      <w:r>
        <w:rPr>
          <w:color w:val="231F20"/>
          <w:spacing w:val="-21"/>
          <w:sz w:val="20"/>
        </w:rPr>
        <w:t> </w:t>
      </w:r>
      <w:r>
        <w:rPr>
          <w:color w:val="231F20"/>
          <w:sz w:val="20"/>
        </w:rPr>
        <w:t>Stat- utes “provides a sanction against a party who unreasonably rejects a settlement offer.”</w:t>
      </w:r>
      <w:r>
        <w:rPr>
          <w:color w:val="231F20"/>
          <w:position w:val="7"/>
          <w:sz w:val="12"/>
        </w:rPr>
        <w:t>23 </w:t>
      </w:r>
      <w:r>
        <w:rPr>
          <w:color w:val="231F20"/>
          <w:sz w:val="20"/>
        </w:rPr>
        <w:t>Pursuant to Section 768.79, if a defendant’s offer of judgment is not accepted by the plaintiff within 30 days of service, the defendant “shall be </w:t>
      </w:r>
      <w:r>
        <w:rPr>
          <w:color w:val="231F20"/>
          <w:spacing w:val="6"/>
          <w:sz w:val="20"/>
        </w:rPr>
        <w:t>entitled </w:t>
      </w:r>
      <w:r>
        <w:rPr>
          <w:color w:val="231F20"/>
          <w:spacing w:val="3"/>
          <w:sz w:val="20"/>
        </w:rPr>
        <w:t>to </w:t>
      </w:r>
      <w:r>
        <w:rPr>
          <w:color w:val="231F20"/>
          <w:spacing w:val="6"/>
          <w:sz w:val="20"/>
        </w:rPr>
        <w:t>recover </w:t>
      </w:r>
      <w:r>
        <w:rPr>
          <w:color w:val="231F20"/>
          <w:spacing w:val="7"/>
          <w:sz w:val="20"/>
        </w:rPr>
        <w:t>reasonable </w:t>
      </w:r>
      <w:r>
        <w:rPr>
          <w:color w:val="231F20"/>
          <w:sz w:val="20"/>
        </w:rPr>
        <w:t>costs</w:t>
      </w:r>
      <w:r>
        <w:rPr>
          <w:color w:val="231F20"/>
          <w:spacing w:val="-17"/>
          <w:sz w:val="20"/>
        </w:rPr>
        <w:t> </w:t>
      </w:r>
      <w:r>
        <w:rPr>
          <w:color w:val="231F20"/>
          <w:sz w:val="20"/>
        </w:rPr>
        <w:t>and</w:t>
      </w:r>
      <w:r>
        <w:rPr>
          <w:color w:val="231F20"/>
          <w:spacing w:val="-17"/>
          <w:sz w:val="20"/>
        </w:rPr>
        <w:t> </w:t>
      </w:r>
      <w:r>
        <w:rPr>
          <w:color w:val="231F20"/>
          <w:sz w:val="20"/>
        </w:rPr>
        <w:t>attorney’s</w:t>
      </w:r>
      <w:r>
        <w:rPr>
          <w:color w:val="231F20"/>
          <w:spacing w:val="-17"/>
          <w:sz w:val="20"/>
        </w:rPr>
        <w:t> </w:t>
      </w:r>
      <w:r>
        <w:rPr>
          <w:color w:val="231F20"/>
          <w:sz w:val="20"/>
        </w:rPr>
        <w:t>fees</w:t>
      </w:r>
      <w:r>
        <w:rPr>
          <w:color w:val="231F20"/>
          <w:spacing w:val="-16"/>
          <w:sz w:val="20"/>
        </w:rPr>
        <w:t> </w:t>
      </w:r>
      <w:r>
        <w:rPr>
          <w:color w:val="231F20"/>
          <w:sz w:val="20"/>
        </w:rPr>
        <w:t>incurred by her or him on the defendant’s </w:t>
      </w:r>
      <w:r>
        <w:rPr>
          <w:color w:val="231F20"/>
          <w:spacing w:val="2"/>
          <w:sz w:val="20"/>
        </w:rPr>
        <w:t>behalf </w:t>
      </w:r>
      <w:r>
        <w:rPr>
          <w:color w:val="231F20"/>
          <w:sz w:val="20"/>
        </w:rPr>
        <w:t>. . . if . . . the </w:t>
      </w:r>
      <w:r>
        <w:rPr>
          <w:color w:val="231F20"/>
          <w:spacing w:val="3"/>
          <w:sz w:val="20"/>
        </w:rPr>
        <w:t>judgment </w:t>
      </w:r>
      <w:r>
        <w:rPr>
          <w:color w:val="231F20"/>
          <w:sz w:val="20"/>
        </w:rPr>
        <w:t>obtained</w:t>
      </w:r>
      <w:r>
        <w:rPr>
          <w:color w:val="231F20"/>
          <w:spacing w:val="-7"/>
          <w:sz w:val="20"/>
        </w:rPr>
        <w:t> </w:t>
      </w:r>
      <w:r>
        <w:rPr>
          <w:color w:val="231F20"/>
          <w:sz w:val="20"/>
        </w:rPr>
        <w:t>by</w:t>
      </w:r>
      <w:r>
        <w:rPr>
          <w:color w:val="231F20"/>
          <w:spacing w:val="-7"/>
          <w:sz w:val="20"/>
        </w:rPr>
        <w:t> </w:t>
      </w:r>
      <w:r>
        <w:rPr>
          <w:color w:val="231F20"/>
          <w:sz w:val="20"/>
        </w:rPr>
        <w:t>the</w:t>
      </w:r>
      <w:r>
        <w:rPr>
          <w:color w:val="231F20"/>
          <w:spacing w:val="-7"/>
          <w:sz w:val="20"/>
        </w:rPr>
        <w:t> </w:t>
      </w:r>
      <w:r>
        <w:rPr>
          <w:color w:val="231F20"/>
          <w:sz w:val="20"/>
        </w:rPr>
        <w:t>plaintiff</w:t>
      </w:r>
      <w:r>
        <w:rPr>
          <w:color w:val="231F20"/>
          <w:spacing w:val="-7"/>
          <w:sz w:val="20"/>
        </w:rPr>
        <w:t> </w:t>
      </w:r>
      <w:r>
        <w:rPr>
          <w:color w:val="231F20"/>
          <w:sz w:val="20"/>
        </w:rPr>
        <w:t>is</w:t>
      </w:r>
      <w:r>
        <w:rPr>
          <w:color w:val="231F20"/>
          <w:spacing w:val="-7"/>
          <w:sz w:val="20"/>
        </w:rPr>
        <w:t> </w:t>
      </w:r>
      <w:r>
        <w:rPr>
          <w:color w:val="231F20"/>
          <w:sz w:val="20"/>
        </w:rPr>
        <w:t>at</w:t>
      </w:r>
      <w:r>
        <w:rPr>
          <w:color w:val="231F20"/>
          <w:spacing w:val="-7"/>
          <w:sz w:val="20"/>
        </w:rPr>
        <w:t> </w:t>
      </w:r>
      <w:r>
        <w:rPr>
          <w:color w:val="231F20"/>
          <w:sz w:val="20"/>
        </w:rPr>
        <w:t>least 25</w:t>
      </w:r>
      <w:r>
        <w:rPr>
          <w:color w:val="231F20"/>
          <w:spacing w:val="-13"/>
          <w:sz w:val="20"/>
        </w:rPr>
        <w:t> </w:t>
      </w:r>
      <w:r>
        <w:rPr>
          <w:color w:val="231F20"/>
          <w:sz w:val="20"/>
        </w:rPr>
        <w:t>percent</w:t>
      </w:r>
      <w:r>
        <w:rPr>
          <w:color w:val="231F20"/>
          <w:spacing w:val="-13"/>
          <w:sz w:val="20"/>
        </w:rPr>
        <w:t> </w:t>
      </w:r>
      <w:r>
        <w:rPr>
          <w:color w:val="231F20"/>
          <w:sz w:val="20"/>
        </w:rPr>
        <w:t>less</w:t>
      </w:r>
      <w:r>
        <w:rPr>
          <w:color w:val="231F20"/>
          <w:spacing w:val="-13"/>
          <w:sz w:val="20"/>
        </w:rPr>
        <w:t> </w:t>
      </w:r>
      <w:r>
        <w:rPr>
          <w:color w:val="231F20"/>
          <w:sz w:val="20"/>
        </w:rPr>
        <w:t>than</w:t>
      </w:r>
      <w:r>
        <w:rPr>
          <w:color w:val="231F20"/>
          <w:spacing w:val="-13"/>
          <w:sz w:val="20"/>
        </w:rPr>
        <w:t> </w:t>
      </w:r>
      <w:r>
        <w:rPr>
          <w:color w:val="231F20"/>
          <w:sz w:val="20"/>
        </w:rPr>
        <w:t>such</w:t>
      </w:r>
      <w:r>
        <w:rPr>
          <w:color w:val="231F20"/>
          <w:spacing w:val="-13"/>
          <w:sz w:val="20"/>
        </w:rPr>
        <w:t> </w:t>
      </w:r>
      <w:r>
        <w:rPr>
          <w:color w:val="231F20"/>
          <w:sz w:val="20"/>
        </w:rPr>
        <w:t>offer.”</w:t>
      </w:r>
      <w:r>
        <w:rPr>
          <w:color w:val="231F20"/>
          <w:position w:val="7"/>
          <w:sz w:val="12"/>
        </w:rPr>
        <w:t>24</w:t>
      </w:r>
      <w:r>
        <w:rPr>
          <w:color w:val="231F20"/>
          <w:sz w:val="12"/>
        </w:rPr>
        <w:t> </w:t>
      </w:r>
      <w:r>
        <w:rPr>
          <w:color w:val="231F20"/>
          <w:sz w:val="20"/>
        </w:rPr>
        <w:t>The</w:t>
      </w:r>
      <w:r>
        <w:rPr>
          <w:color w:val="231F20"/>
          <w:spacing w:val="-28"/>
          <w:sz w:val="20"/>
        </w:rPr>
        <w:t> </w:t>
      </w:r>
      <w:r>
        <w:rPr>
          <w:color w:val="231F20"/>
          <w:sz w:val="20"/>
        </w:rPr>
        <w:t>statute</w:t>
      </w:r>
      <w:r>
        <w:rPr>
          <w:color w:val="231F20"/>
          <w:spacing w:val="-28"/>
          <w:sz w:val="20"/>
        </w:rPr>
        <w:t> </w:t>
      </w:r>
      <w:r>
        <w:rPr>
          <w:color w:val="231F20"/>
          <w:sz w:val="20"/>
        </w:rPr>
        <w:t>provides</w:t>
      </w:r>
      <w:r>
        <w:rPr>
          <w:color w:val="231F20"/>
          <w:spacing w:val="-28"/>
          <w:sz w:val="20"/>
        </w:rPr>
        <w:t> </w:t>
      </w:r>
      <w:r>
        <w:rPr>
          <w:color w:val="231F20"/>
          <w:sz w:val="20"/>
        </w:rPr>
        <w:t>strict</w:t>
      </w:r>
      <w:r>
        <w:rPr>
          <w:color w:val="231F20"/>
          <w:spacing w:val="-28"/>
          <w:sz w:val="20"/>
        </w:rPr>
        <w:t> </w:t>
      </w:r>
      <w:r>
        <w:rPr>
          <w:color w:val="231F20"/>
          <w:sz w:val="20"/>
        </w:rPr>
        <w:t>require- ments for the form and content of offers</w:t>
      </w:r>
      <w:r>
        <w:rPr>
          <w:color w:val="231F20"/>
          <w:spacing w:val="-20"/>
          <w:sz w:val="20"/>
        </w:rPr>
        <w:t> </w:t>
      </w:r>
      <w:r>
        <w:rPr>
          <w:color w:val="231F20"/>
          <w:sz w:val="20"/>
        </w:rPr>
        <w:t>of</w:t>
      </w:r>
      <w:r>
        <w:rPr>
          <w:color w:val="231F20"/>
          <w:spacing w:val="-20"/>
          <w:sz w:val="20"/>
        </w:rPr>
        <w:t> </w:t>
      </w:r>
      <w:r>
        <w:rPr>
          <w:color w:val="231F20"/>
          <w:sz w:val="20"/>
        </w:rPr>
        <w:t>judgment</w:t>
      </w:r>
      <w:r>
        <w:rPr>
          <w:color w:val="231F20"/>
          <w:spacing w:val="-20"/>
          <w:sz w:val="20"/>
        </w:rPr>
        <w:t> </w:t>
      </w:r>
      <w:r>
        <w:rPr>
          <w:color w:val="231F20"/>
          <w:sz w:val="20"/>
        </w:rPr>
        <w:t>and</w:t>
      </w:r>
      <w:r>
        <w:rPr>
          <w:color w:val="231F20"/>
          <w:spacing w:val="-20"/>
          <w:sz w:val="20"/>
        </w:rPr>
        <w:t> </w:t>
      </w:r>
      <w:r>
        <w:rPr>
          <w:color w:val="231F20"/>
          <w:sz w:val="20"/>
        </w:rPr>
        <w:t>directs</w:t>
      </w:r>
      <w:r>
        <w:rPr>
          <w:color w:val="231F20"/>
          <w:spacing w:val="-20"/>
          <w:sz w:val="20"/>
        </w:rPr>
        <w:t> </w:t>
      </w:r>
      <w:r>
        <w:rPr>
          <w:color w:val="231F20"/>
          <w:sz w:val="20"/>
        </w:rPr>
        <w:t>that a proposal “shall be served upon the party to whom it is made, but [generally] it shall not be</w:t>
      </w:r>
      <w:r>
        <w:rPr>
          <w:color w:val="231F20"/>
          <w:spacing w:val="-8"/>
          <w:sz w:val="20"/>
        </w:rPr>
        <w:t> </w:t>
      </w:r>
      <w:r>
        <w:rPr>
          <w:color w:val="231F20"/>
          <w:sz w:val="20"/>
        </w:rPr>
        <w:t>filed.”</w:t>
      </w:r>
      <w:r>
        <w:rPr>
          <w:color w:val="231F20"/>
          <w:position w:val="7"/>
          <w:sz w:val="12"/>
        </w:rPr>
        <w:t>25</w:t>
      </w:r>
    </w:p>
    <w:p>
      <w:pPr>
        <w:pStyle w:val="ListParagraph"/>
        <w:numPr>
          <w:ilvl w:val="0"/>
          <w:numId w:val="5"/>
        </w:numPr>
        <w:tabs>
          <w:tab w:pos="541" w:val="left" w:leader="none"/>
        </w:tabs>
        <w:spacing w:line="254" w:lineRule="auto" w:before="21" w:after="0"/>
        <w:ind w:left="540" w:right="38" w:hanging="240"/>
        <w:jc w:val="both"/>
        <w:rPr>
          <w:sz w:val="20"/>
        </w:rPr>
      </w:pPr>
      <w:r>
        <w:rPr>
          <w:color w:val="231F20"/>
          <w:spacing w:val="3"/>
          <w:sz w:val="20"/>
        </w:rPr>
        <w:t>Section 768.79 </w:t>
      </w:r>
      <w:r>
        <w:rPr>
          <w:color w:val="231F20"/>
          <w:sz w:val="20"/>
        </w:rPr>
        <w:t>is </w:t>
      </w:r>
      <w:r>
        <w:rPr>
          <w:color w:val="231F20"/>
          <w:spacing w:val="4"/>
          <w:sz w:val="20"/>
        </w:rPr>
        <w:t>implemented </w:t>
      </w:r>
      <w:r>
        <w:rPr>
          <w:color w:val="231F20"/>
          <w:sz w:val="20"/>
        </w:rPr>
        <w:t>by rule 1.442 of the Florida Rules of Civil Procedure and contains </w:t>
      </w:r>
      <w:r>
        <w:rPr>
          <w:color w:val="231F20"/>
          <w:spacing w:val="10"/>
          <w:sz w:val="20"/>
        </w:rPr>
        <w:t>further specific </w:t>
      </w:r>
      <w:r>
        <w:rPr>
          <w:color w:val="231F20"/>
          <w:spacing w:val="11"/>
          <w:sz w:val="20"/>
        </w:rPr>
        <w:t>requirements </w:t>
      </w:r>
      <w:r>
        <w:rPr>
          <w:color w:val="231F20"/>
          <w:sz w:val="20"/>
        </w:rPr>
        <w:t>regarding the contents of the</w:t>
      </w:r>
      <w:r>
        <w:rPr>
          <w:color w:val="231F20"/>
          <w:spacing w:val="-24"/>
          <w:sz w:val="20"/>
        </w:rPr>
        <w:t> </w:t>
      </w:r>
      <w:r>
        <w:rPr>
          <w:color w:val="231F20"/>
          <w:sz w:val="20"/>
        </w:rPr>
        <w:t>pro- posal, stating that it must</w:t>
      </w:r>
      <w:r>
        <w:rPr>
          <w:color w:val="231F20"/>
          <w:spacing w:val="-36"/>
          <w:sz w:val="20"/>
        </w:rPr>
        <w:t> </w:t>
      </w:r>
      <w:r>
        <w:rPr>
          <w:color w:val="231F20"/>
          <w:sz w:val="20"/>
        </w:rPr>
        <w:t>“include a certificate of service in the form required</w:t>
      </w:r>
      <w:r>
        <w:rPr>
          <w:color w:val="231F20"/>
          <w:spacing w:val="-26"/>
          <w:sz w:val="20"/>
        </w:rPr>
        <w:t> </w:t>
      </w:r>
      <w:r>
        <w:rPr>
          <w:color w:val="231F20"/>
          <w:sz w:val="20"/>
        </w:rPr>
        <w:t>by</w:t>
      </w:r>
      <w:r>
        <w:rPr>
          <w:color w:val="231F20"/>
          <w:spacing w:val="-25"/>
          <w:sz w:val="20"/>
        </w:rPr>
        <w:t> </w:t>
      </w:r>
      <w:r>
        <w:rPr>
          <w:color w:val="231F20"/>
          <w:sz w:val="20"/>
        </w:rPr>
        <w:t>rule</w:t>
      </w:r>
      <w:r>
        <w:rPr>
          <w:color w:val="231F20"/>
          <w:spacing w:val="-26"/>
          <w:sz w:val="20"/>
        </w:rPr>
        <w:t> </w:t>
      </w:r>
      <w:r>
        <w:rPr>
          <w:color w:val="231F20"/>
          <w:sz w:val="20"/>
        </w:rPr>
        <w:t>1.080.”</w:t>
      </w:r>
      <w:r>
        <w:rPr>
          <w:color w:val="231F20"/>
          <w:position w:val="7"/>
          <w:sz w:val="12"/>
        </w:rPr>
        <w:t>26</w:t>
      </w:r>
      <w:r>
        <w:rPr>
          <w:color w:val="231F20"/>
          <w:spacing w:val="-2"/>
          <w:position w:val="7"/>
          <w:sz w:val="12"/>
        </w:rPr>
        <w:t> </w:t>
      </w:r>
      <w:r>
        <w:rPr>
          <w:color w:val="231F20"/>
          <w:sz w:val="20"/>
        </w:rPr>
        <w:t>Like</w:t>
      </w:r>
      <w:r>
        <w:rPr>
          <w:color w:val="231F20"/>
          <w:spacing w:val="-26"/>
          <w:sz w:val="20"/>
        </w:rPr>
        <w:t> </w:t>
      </w:r>
      <w:r>
        <w:rPr>
          <w:color w:val="231F20"/>
          <w:sz w:val="20"/>
        </w:rPr>
        <w:t>sec- tion</w:t>
      </w:r>
      <w:r>
        <w:rPr>
          <w:color w:val="231F20"/>
          <w:spacing w:val="-16"/>
          <w:sz w:val="20"/>
        </w:rPr>
        <w:t> </w:t>
      </w:r>
      <w:r>
        <w:rPr>
          <w:color w:val="231F20"/>
          <w:sz w:val="20"/>
        </w:rPr>
        <w:t>768.79,</w:t>
      </w:r>
      <w:r>
        <w:rPr>
          <w:color w:val="231F20"/>
          <w:spacing w:val="-15"/>
          <w:sz w:val="20"/>
        </w:rPr>
        <w:t> </w:t>
      </w:r>
      <w:r>
        <w:rPr>
          <w:color w:val="231F20"/>
          <w:sz w:val="20"/>
        </w:rPr>
        <w:t>rule</w:t>
      </w:r>
      <w:r>
        <w:rPr>
          <w:color w:val="231F20"/>
          <w:spacing w:val="-15"/>
          <w:sz w:val="20"/>
        </w:rPr>
        <w:t> </w:t>
      </w:r>
      <w:r>
        <w:rPr>
          <w:color w:val="231F20"/>
          <w:sz w:val="20"/>
        </w:rPr>
        <w:t>1.442</w:t>
      </w:r>
      <w:r>
        <w:rPr>
          <w:color w:val="231F20"/>
          <w:spacing w:val="-16"/>
          <w:sz w:val="20"/>
        </w:rPr>
        <w:t> </w:t>
      </w:r>
      <w:r>
        <w:rPr>
          <w:color w:val="231F20"/>
          <w:sz w:val="20"/>
        </w:rPr>
        <w:t>also</w:t>
      </w:r>
      <w:r>
        <w:rPr>
          <w:color w:val="231F20"/>
          <w:spacing w:val="-15"/>
          <w:sz w:val="20"/>
        </w:rPr>
        <w:t> </w:t>
      </w:r>
      <w:r>
        <w:rPr>
          <w:color w:val="231F20"/>
          <w:sz w:val="20"/>
        </w:rPr>
        <w:t>states that</w:t>
      </w:r>
      <w:r>
        <w:rPr>
          <w:color w:val="231F20"/>
          <w:spacing w:val="-16"/>
          <w:sz w:val="20"/>
        </w:rPr>
        <w:t> </w:t>
      </w:r>
      <w:r>
        <w:rPr>
          <w:color w:val="231F20"/>
          <w:sz w:val="20"/>
        </w:rPr>
        <w:t>a</w:t>
      </w:r>
      <w:r>
        <w:rPr>
          <w:color w:val="231F20"/>
          <w:spacing w:val="-16"/>
          <w:sz w:val="20"/>
        </w:rPr>
        <w:t> </w:t>
      </w:r>
      <w:r>
        <w:rPr>
          <w:color w:val="231F20"/>
          <w:sz w:val="20"/>
        </w:rPr>
        <w:t>proposal</w:t>
      </w:r>
      <w:r>
        <w:rPr>
          <w:color w:val="231F20"/>
          <w:spacing w:val="-16"/>
          <w:sz w:val="20"/>
        </w:rPr>
        <w:t> </w:t>
      </w:r>
      <w:r>
        <w:rPr>
          <w:color w:val="231F20"/>
          <w:sz w:val="20"/>
        </w:rPr>
        <w:t>generally</w:t>
      </w:r>
      <w:r>
        <w:rPr>
          <w:color w:val="231F20"/>
          <w:spacing w:val="-16"/>
          <w:sz w:val="20"/>
        </w:rPr>
        <w:t> </w:t>
      </w:r>
      <w:r>
        <w:rPr>
          <w:color w:val="231F20"/>
          <w:sz w:val="20"/>
        </w:rPr>
        <w:t>“shall</w:t>
      </w:r>
      <w:r>
        <w:rPr>
          <w:color w:val="231F20"/>
          <w:spacing w:val="-16"/>
          <w:sz w:val="20"/>
        </w:rPr>
        <w:t> </w:t>
      </w:r>
      <w:r>
        <w:rPr>
          <w:color w:val="231F20"/>
          <w:sz w:val="20"/>
        </w:rPr>
        <w:t>be served on the party or parties to whom it is made but shall not be filed.”</w:t>
      </w:r>
      <w:r>
        <w:rPr>
          <w:color w:val="231F20"/>
          <w:position w:val="7"/>
          <w:sz w:val="12"/>
        </w:rPr>
        <w:t>27 </w:t>
      </w:r>
      <w:r>
        <w:rPr>
          <w:color w:val="231F20"/>
          <w:sz w:val="20"/>
        </w:rPr>
        <w:t>While rule 1.442 requires proposals to include a certificate of service, rule 1.080 no longer includes a provision regarding a </w:t>
      </w:r>
      <w:r>
        <w:rPr>
          <w:color w:val="231F20"/>
          <w:spacing w:val="3"/>
          <w:sz w:val="20"/>
        </w:rPr>
        <w:t>certificate </w:t>
      </w:r>
      <w:r>
        <w:rPr>
          <w:color w:val="231F20"/>
          <w:sz w:val="20"/>
        </w:rPr>
        <w:t>of </w:t>
      </w:r>
      <w:r>
        <w:rPr>
          <w:color w:val="231F20"/>
          <w:spacing w:val="3"/>
          <w:sz w:val="20"/>
        </w:rPr>
        <w:t>service.</w:t>
      </w:r>
      <w:r>
        <w:rPr>
          <w:color w:val="231F20"/>
          <w:spacing w:val="3"/>
          <w:position w:val="7"/>
          <w:sz w:val="12"/>
        </w:rPr>
        <w:t>28 </w:t>
      </w:r>
      <w:r>
        <w:rPr>
          <w:color w:val="231F20"/>
          <w:spacing w:val="4"/>
          <w:sz w:val="20"/>
        </w:rPr>
        <w:t>Instead, </w:t>
      </w:r>
      <w:r>
        <w:rPr>
          <w:color w:val="231F20"/>
          <w:spacing w:val="6"/>
          <w:sz w:val="20"/>
        </w:rPr>
        <w:t>rule </w:t>
      </w:r>
      <w:r>
        <w:rPr>
          <w:color w:val="231F20"/>
          <w:spacing w:val="5"/>
          <w:sz w:val="20"/>
        </w:rPr>
        <w:t>1.080 </w:t>
      </w:r>
      <w:r>
        <w:rPr>
          <w:color w:val="231F20"/>
          <w:spacing w:val="6"/>
          <w:sz w:val="20"/>
        </w:rPr>
        <w:t>states that “[e]very </w:t>
      </w:r>
      <w:r>
        <w:rPr>
          <w:color w:val="231F20"/>
          <w:sz w:val="20"/>
        </w:rPr>
        <w:t>pleading subsequent to the initial </w:t>
      </w:r>
      <w:r>
        <w:rPr>
          <w:color w:val="231F20"/>
          <w:spacing w:val="3"/>
          <w:sz w:val="20"/>
        </w:rPr>
        <w:t>pleading, </w:t>
      </w:r>
      <w:r>
        <w:rPr>
          <w:color w:val="231F20"/>
          <w:spacing w:val="2"/>
          <w:sz w:val="20"/>
        </w:rPr>
        <w:t>all </w:t>
      </w:r>
      <w:r>
        <w:rPr>
          <w:color w:val="231F20"/>
          <w:spacing w:val="3"/>
          <w:sz w:val="20"/>
        </w:rPr>
        <w:t>orders, </w:t>
      </w:r>
      <w:r>
        <w:rPr>
          <w:color w:val="231F20"/>
          <w:spacing w:val="2"/>
          <w:sz w:val="20"/>
        </w:rPr>
        <w:t>and </w:t>
      </w:r>
      <w:r>
        <w:rPr>
          <w:color w:val="231F20"/>
          <w:spacing w:val="4"/>
          <w:sz w:val="20"/>
        </w:rPr>
        <w:t>every </w:t>
      </w:r>
      <w:r>
        <w:rPr>
          <w:color w:val="231F20"/>
          <w:sz w:val="20"/>
        </w:rPr>
        <w:t>other document filed in the action must be served in conformity</w:t>
      </w:r>
      <w:r>
        <w:rPr>
          <w:color w:val="231F20"/>
          <w:spacing w:val="-36"/>
          <w:sz w:val="20"/>
        </w:rPr>
        <w:t> </w:t>
      </w:r>
      <w:r>
        <w:rPr>
          <w:color w:val="231F20"/>
          <w:sz w:val="20"/>
        </w:rPr>
        <w:t>with</w:t>
      </w:r>
    </w:p>
    <w:p>
      <w:pPr>
        <w:pStyle w:val="BodyText"/>
        <w:spacing w:line="252" w:lineRule="auto" w:before="77"/>
        <w:ind w:left="540" w:right="287"/>
        <w:jc w:val="both"/>
        <w:rPr>
          <w:sz w:val="12"/>
        </w:rPr>
      </w:pPr>
      <w:r>
        <w:rPr/>
        <w:br w:type="column"/>
      </w:r>
      <w:r>
        <w:rPr>
          <w:color w:val="231F20"/>
        </w:rPr>
        <w:t>the requirements of Florida Rule of</w:t>
      </w:r>
      <w:r>
        <w:rPr>
          <w:color w:val="231F20"/>
          <w:spacing w:val="-28"/>
        </w:rPr>
        <w:t> </w:t>
      </w:r>
      <w:r>
        <w:rPr>
          <w:color w:val="231F20"/>
        </w:rPr>
        <w:t>Judicial</w:t>
      </w:r>
      <w:r>
        <w:rPr>
          <w:color w:val="231F20"/>
          <w:spacing w:val="-35"/>
        </w:rPr>
        <w:t> </w:t>
      </w:r>
      <w:r>
        <w:rPr>
          <w:color w:val="231F20"/>
        </w:rPr>
        <w:t>Administration</w:t>
      </w:r>
      <w:r>
        <w:rPr>
          <w:color w:val="231F20"/>
          <w:spacing w:val="-27"/>
        </w:rPr>
        <w:t> </w:t>
      </w:r>
      <w:r>
        <w:rPr>
          <w:color w:val="231F20"/>
        </w:rPr>
        <w:t>2.516.”</w:t>
      </w:r>
      <w:r>
        <w:rPr>
          <w:color w:val="231F20"/>
          <w:position w:val="7"/>
          <w:sz w:val="12"/>
        </w:rPr>
        <w:t>29</w:t>
      </w:r>
    </w:p>
    <w:p>
      <w:pPr>
        <w:pStyle w:val="ListParagraph"/>
        <w:numPr>
          <w:ilvl w:val="0"/>
          <w:numId w:val="5"/>
        </w:numPr>
        <w:tabs>
          <w:tab w:pos="541" w:val="left" w:leader="none"/>
        </w:tabs>
        <w:spacing w:line="249" w:lineRule="auto" w:before="23" w:after="0"/>
        <w:ind w:left="540" w:right="284" w:hanging="241"/>
        <w:jc w:val="both"/>
        <w:rPr>
          <w:i/>
          <w:sz w:val="20"/>
        </w:rPr>
      </w:pPr>
      <w:r>
        <w:rPr>
          <w:color w:val="231F20"/>
          <w:sz w:val="20"/>
        </w:rPr>
        <w:t>Rule 2.516 requires that “</w:t>
      </w:r>
      <w:r>
        <w:rPr>
          <w:i/>
          <w:color w:val="231F20"/>
          <w:sz w:val="20"/>
        </w:rPr>
        <w:t>every </w:t>
      </w:r>
      <w:r>
        <w:rPr>
          <w:i/>
          <w:color w:val="231F20"/>
          <w:sz w:val="20"/>
        </w:rPr>
        <w:t>pleading subsequent to the initial pleading and every other docu- ment</w:t>
      </w:r>
      <w:r>
        <w:rPr>
          <w:i/>
          <w:color w:val="231F20"/>
          <w:spacing w:val="-16"/>
          <w:sz w:val="20"/>
        </w:rPr>
        <w:t> </w:t>
      </w:r>
      <w:r>
        <w:rPr>
          <w:i/>
          <w:color w:val="231F20"/>
          <w:sz w:val="20"/>
        </w:rPr>
        <w:t>filed</w:t>
      </w:r>
      <w:r>
        <w:rPr>
          <w:i/>
          <w:color w:val="231F20"/>
          <w:spacing w:val="-15"/>
          <w:sz w:val="20"/>
        </w:rPr>
        <w:t> </w:t>
      </w:r>
      <w:r>
        <w:rPr>
          <w:i/>
          <w:color w:val="231F20"/>
          <w:sz w:val="20"/>
        </w:rPr>
        <w:t>in</w:t>
      </w:r>
      <w:r>
        <w:rPr>
          <w:i/>
          <w:color w:val="231F20"/>
          <w:spacing w:val="-16"/>
          <w:sz w:val="20"/>
        </w:rPr>
        <w:t> </w:t>
      </w:r>
      <w:r>
        <w:rPr>
          <w:i/>
          <w:color w:val="231F20"/>
          <w:sz w:val="20"/>
        </w:rPr>
        <w:t>any</w:t>
      </w:r>
      <w:r>
        <w:rPr>
          <w:i/>
          <w:color w:val="231F20"/>
          <w:spacing w:val="-15"/>
          <w:sz w:val="20"/>
        </w:rPr>
        <w:t> </w:t>
      </w:r>
      <w:r>
        <w:rPr>
          <w:i/>
          <w:color w:val="231F20"/>
          <w:sz w:val="20"/>
        </w:rPr>
        <w:t>court</w:t>
      </w:r>
      <w:r>
        <w:rPr>
          <w:i/>
          <w:color w:val="231F20"/>
          <w:spacing w:val="-15"/>
          <w:sz w:val="20"/>
        </w:rPr>
        <w:t> </w:t>
      </w:r>
      <w:r>
        <w:rPr>
          <w:i/>
          <w:color w:val="231F20"/>
          <w:sz w:val="20"/>
        </w:rPr>
        <w:t>proceeding</w:t>
      </w:r>
    </w:p>
    <w:p>
      <w:pPr>
        <w:spacing w:line="252" w:lineRule="auto" w:before="0"/>
        <w:ind w:left="540" w:right="281" w:firstLine="0"/>
        <w:jc w:val="both"/>
        <w:rPr>
          <w:sz w:val="12"/>
        </w:rPr>
      </w:pPr>
      <w:r>
        <w:rPr>
          <w:i/>
          <w:color w:val="231F20"/>
          <w:sz w:val="20"/>
        </w:rPr>
        <w:t>.</w:t>
      </w:r>
      <w:r>
        <w:rPr>
          <w:i/>
          <w:color w:val="231F20"/>
          <w:spacing w:val="-11"/>
          <w:sz w:val="20"/>
        </w:rPr>
        <w:t> </w:t>
      </w:r>
      <w:r>
        <w:rPr>
          <w:i/>
          <w:color w:val="231F20"/>
          <w:sz w:val="20"/>
        </w:rPr>
        <w:t>.</w:t>
      </w:r>
      <w:r>
        <w:rPr>
          <w:i/>
          <w:color w:val="231F20"/>
          <w:spacing w:val="-11"/>
          <w:sz w:val="20"/>
        </w:rPr>
        <w:t> </w:t>
      </w:r>
      <w:r>
        <w:rPr>
          <w:i/>
          <w:color w:val="231F20"/>
          <w:sz w:val="20"/>
        </w:rPr>
        <w:t>.</w:t>
      </w:r>
      <w:r>
        <w:rPr>
          <w:i/>
          <w:color w:val="231F20"/>
          <w:spacing w:val="-10"/>
          <w:sz w:val="20"/>
        </w:rPr>
        <w:t> </w:t>
      </w:r>
      <w:r>
        <w:rPr>
          <w:i/>
          <w:color w:val="231F20"/>
          <w:sz w:val="20"/>
        </w:rPr>
        <w:t>must</w:t>
      </w:r>
      <w:r>
        <w:rPr>
          <w:i/>
          <w:color w:val="231F20"/>
          <w:spacing w:val="-11"/>
          <w:sz w:val="20"/>
        </w:rPr>
        <w:t> </w:t>
      </w:r>
      <w:r>
        <w:rPr>
          <w:i/>
          <w:color w:val="231F20"/>
          <w:sz w:val="20"/>
        </w:rPr>
        <w:t>be</w:t>
      </w:r>
      <w:r>
        <w:rPr>
          <w:i/>
          <w:color w:val="231F20"/>
          <w:spacing w:val="-11"/>
          <w:sz w:val="20"/>
        </w:rPr>
        <w:t> </w:t>
      </w:r>
      <w:r>
        <w:rPr>
          <w:i/>
          <w:color w:val="231F20"/>
          <w:sz w:val="20"/>
        </w:rPr>
        <w:t>served</w:t>
      </w:r>
      <w:r>
        <w:rPr>
          <w:i/>
          <w:color w:val="231F20"/>
          <w:spacing w:val="-10"/>
          <w:sz w:val="20"/>
        </w:rPr>
        <w:t> </w:t>
      </w:r>
      <w:r>
        <w:rPr>
          <w:i/>
          <w:color w:val="231F20"/>
          <w:sz w:val="20"/>
        </w:rPr>
        <w:t>in</w:t>
      </w:r>
      <w:r>
        <w:rPr>
          <w:i/>
          <w:color w:val="231F20"/>
          <w:spacing w:val="-11"/>
          <w:sz w:val="20"/>
        </w:rPr>
        <w:t> </w:t>
      </w:r>
      <w:r>
        <w:rPr>
          <w:i/>
          <w:color w:val="231F20"/>
          <w:sz w:val="20"/>
        </w:rPr>
        <w:t>accordance </w:t>
      </w:r>
      <w:r>
        <w:rPr>
          <w:i/>
          <w:color w:val="231F20"/>
          <w:spacing w:val="3"/>
          <w:sz w:val="20"/>
        </w:rPr>
        <w:t>with this rule </w:t>
      </w:r>
      <w:r>
        <w:rPr>
          <w:i/>
          <w:color w:val="231F20"/>
          <w:spacing w:val="2"/>
          <w:sz w:val="20"/>
        </w:rPr>
        <w:t>on </w:t>
      </w:r>
      <w:r>
        <w:rPr>
          <w:i/>
          <w:color w:val="231F20"/>
          <w:spacing w:val="3"/>
          <w:sz w:val="20"/>
        </w:rPr>
        <w:t>each party.”</w:t>
      </w:r>
      <w:r>
        <w:rPr>
          <w:color w:val="231F20"/>
          <w:spacing w:val="3"/>
          <w:position w:val="7"/>
          <w:sz w:val="12"/>
        </w:rPr>
        <w:t>30</w:t>
      </w:r>
      <w:r>
        <w:rPr>
          <w:color w:val="231F20"/>
          <w:spacing w:val="39"/>
          <w:position w:val="7"/>
          <w:sz w:val="12"/>
        </w:rPr>
        <w:t> </w:t>
      </w:r>
      <w:r>
        <w:rPr>
          <w:color w:val="231F20"/>
          <w:sz w:val="20"/>
        </w:rPr>
        <w:t>Regarding service by e-mail, the </w:t>
      </w:r>
      <w:r>
        <w:rPr>
          <w:color w:val="231F20"/>
          <w:spacing w:val="3"/>
          <w:sz w:val="20"/>
        </w:rPr>
        <w:t>rule </w:t>
      </w:r>
      <w:r>
        <w:rPr>
          <w:color w:val="231F20"/>
          <w:spacing w:val="4"/>
          <w:sz w:val="20"/>
        </w:rPr>
        <w:t>states </w:t>
      </w:r>
      <w:r>
        <w:rPr>
          <w:color w:val="231F20"/>
          <w:spacing w:val="3"/>
          <w:sz w:val="20"/>
        </w:rPr>
        <w:t>that generally, </w:t>
      </w:r>
      <w:r>
        <w:rPr>
          <w:color w:val="231F20"/>
          <w:spacing w:val="5"/>
          <w:sz w:val="20"/>
        </w:rPr>
        <w:t>“</w:t>
      </w:r>
      <w:r>
        <w:rPr>
          <w:i/>
          <w:color w:val="231F20"/>
          <w:spacing w:val="5"/>
          <w:sz w:val="20"/>
        </w:rPr>
        <w:t>[a]ll </w:t>
      </w:r>
      <w:r>
        <w:rPr>
          <w:i/>
          <w:color w:val="231F20"/>
          <w:sz w:val="20"/>
        </w:rPr>
        <w:t>documents required or permitted </w:t>
      </w:r>
      <w:r>
        <w:rPr>
          <w:i/>
          <w:color w:val="231F20"/>
          <w:spacing w:val="3"/>
          <w:sz w:val="20"/>
        </w:rPr>
        <w:t>to be </w:t>
      </w:r>
      <w:r>
        <w:rPr>
          <w:i/>
          <w:color w:val="231F20"/>
          <w:spacing w:val="5"/>
          <w:sz w:val="20"/>
        </w:rPr>
        <w:t>served </w:t>
      </w:r>
      <w:r>
        <w:rPr>
          <w:i/>
          <w:color w:val="231F20"/>
          <w:spacing w:val="3"/>
          <w:sz w:val="20"/>
        </w:rPr>
        <w:t>on </w:t>
      </w:r>
      <w:r>
        <w:rPr>
          <w:i/>
          <w:color w:val="231F20"/>
          <w:spacing w:val="5"/>
          <w:sz w:val="20"/>
        </w:rPr>
        <w:t>another </w:t>
      </w:r>
      <w:r>
        <w:rPr>
          <w:i/>
          <w:color w:val="231F20"/>
          <w:spacing w:val="4"/>
          <w:sz w:val="20"/>
        </w:rPr>
        <w:t>party </w:t>
      </w:r>
      <w:r>
        <w:rPr>
          <w:i/>
          <w:color w:val="231F20"/>
          <w:sz w:val="20"/>
        </w:rPr>
        <w:t>must be served by e-mail.”</w:t>
      </w:r>
      <w:r>
        <w:rPr>
          <w:color w:val="231F20"/>
          <w:position w:val="7"/>
          <w:sz w:val="12"/>
        </w:rPr>
        <w:t>31 </w:t>
      </w:r>
      <w:r>
        <w:rPr>
          <w:color w:val="231F20"/>
          <w:sz w:val="20"/>
        </w:rPr>
        <w:t>The rule further provides for specific formatting requirements for ser- vice by</w:t>
      </w:r>
      <w:r>
        <w:rPr>
          <w:color w:val="231F20"/>
          <w:spacing w:val="-2"/>
          <w:sz w:val="20"/>
        </w:rPr>
        <w:t> </w:t>
      </w:r>
      <w:r>
        <w:rPr>
          <w:color w:val="231F20"/>
          <w:sz w:val="20"/>
        </w:rPr>
        <w:t>e-mail.</w:t>
      </w:r>
      <w:r>
        <w:rPr>
          <w:color w:val="231F20"/>
          <w:position w:val="7"/>
          <w:sz w:val="12"/>
        </w:rPr>
        <w:t>32</w:t>
      </w:r>
    </w:p>
    <w:p>
      <w:pPr>
        <w:pStyle w:val="BodyText"/>
        <w:spacing w:before="2"/>
        <w:rPr>
          <w:sz w:val="19"/>
        </w:rPr>
      </w:pPr>
    </w:p>
    <w:p>
      <w:pPr>
        <w:spacing w:before="0"/>
        <w:ind w:left="120" w:right="0" w:firstLine="0"/>
        <w:jc w:val="both"/>
        <w:rPr>
          <w:b/>
          <w:sz w:val="24"/>
        </w:rPr>
      </w:pPr>
      <w:r>
        <w:rPr>
          <w:b/>
          <w:color w:val="231F20"/>
          <w:sz w:val="24"/>
        </w:rPr>
        <w:t>The District Split</w:t>
      </w:r>
    </w:p>
    <w:p>
      <w:pPr>
        <w:pStyle w:val="BodyText"/>
        <w:spacing w:line="252" w:lineRule="auto" w:before="63"/>
        <w:ind w:left="120" w:right="287" w:firstLine="180"/>
        <w:jc w:val="both"/>
      </w:pPr>
      <w:r>
        <w:rPr>
          <w:color w:val="231F20"/>
        </w:rPr>
        <w:t>After reciting the relevant rules </w:t>
      </w:r>
      <w:r>
        <w:rPr>
          <w:color w:val="231F20"/>
          <w:spacing w:val="-5"/>
        </w:rPr>
        <w:t>and </w:t>
      </w:r>
      <w:r>
        <w:rPr>
          <w:color w:val="231F20"/>
        </w:rPr>
        <w:t>law, the Court briefed the conflicting </w:t>
      </w:r>
      <w:r>
        <w:rPr>
          <w:color w:val="231F20"/>
          <w:spacing w:val="2"/>
        </w:rPr>
        <w:t>district court decisions. </w:t>
      </w:r>
      <w:r>
        <w:rPr>
          <w:color w:val="231F20"/>
        </w:rPr>
        <w:t>Not </w:t>
      </w:r>
      <w:r>
        <w:rPr>
          <w:color w:val="231F20"/>
          <w:spacing w:val="2"/>
        </w:rPr>
        <w:t>surpris- </w:t>
      </w:r>
      <w:r>
        <w:rPr>
          <w:color w:val="231F20"/>
          <w:spacing w:val="-5"/>
        </w:rPr>
        <w:t>ingly,</w:t>
      </w:r>
      <w:r>
        <w:rPr>
          <w:color w:val="231F20"/>
          <w:spacing w:val="-19"/>
        </w:rPr>
        <w:t> </w:t>
      </w:r>
      <w:r>
        <w:rPr>
          <w:color w:val="231F20"/>
        </w:rPr>
        <w:t>the</w:t>
      </w:r>
      <w:r>
        <w:rPr>
          <w:color w:val="231F20"/>
          <w:spacing w:val="-19"/>
        </w:rPr>
        <w:t> </w:t>
      </w:r>
      <w:r>
        <w:rPr>
          <w:color w:val="231F20"/>
          <w:spacing w:val="-3"/>
        </w:rPr>
        <w:t>basic</w:t>
      </w:r>
      <w:r>
        <w:rPr>
          <w:color w:val="231F20"/>
          <w:spacing w:val="-19"/>
        </w:rPr>
        <w:t> </w:t>
      </w:r>
      <w:r>
        <w:rPr>
          <w:color w:val="231F20"/>
          <w:spacing w:val="-3"/>
        </w:rPr>
        <w:t>underlying</w:t>
      </w:r>
      <w:r>
        <w:rPr>
          <w:color w:val="231F20"/>
          <w:spacing w:val="-19"/>
        </w:rPr>
        <w:t> </w:t>
      </w:r>
      <w:r>
        <w:rPr>
          <w:color w:val="231F20"/>
          <w:spacing w:val="-3"/>
        </w:rPr>
        <w:t>facts</w:t>
      </w:r>
      <w:r>
        <w:rPr>
          <w:color w:val="231F20"/>
          <w:spacing w:val="-19"/>
        </w:rPr>
        <w:t> </w:t>
      </w:r>
      <w:r>
        <w:rPr>
          <w:color w:val="231F20"/>
        </w:rPr>
        <w:t>of</w:t>
      </w:r>
      <w:r>
        <w:rPr>
          <w:color w:val="231F20"/>
          <w:spacing w:val="-19"/>
        </w:rPr>
        <w:t> </w:t>
      </w:r>
      <w:r>
        <w:rPr>
          <w:color w:val="231F20"/>
          <w:spacing w:val="-3"/>
        </w:rPr>
        <w:t>those </w:t>
      </w:r>
      <w:r>
        <w:rPr>
          <w:color w:val="231F20"/>
        </w:rPr>
        <w:t>cases are largely the</w:t>
      </w:r>
      <w:r>
        <w:rPr>
          <w:color w:val="231F20"/>
          <w:spacing w:val="-4"/>
        </w:rPr>
        <w:t> </w:t>
      </w:r>
      <w:r>
        <w:rPr>
          <w:color w:val="231F20"/>
        </w:rPr>
        <w:t>same.</w:t>
      </w:r>
    </w:p>
    <w:p>
      <w:pPr>
        <w:pStyle w:val="BodyText"/>
        <w:spacing w:line="252" w:lineRule="auto"/>
        <w:ind w:left="120" w:right="280" w:firstLine="180"/>
        <w:jc w:val="both"/>
        <w:rPr>
          <w:sz w:val="12"/>
        </w:rPr>
      </w:pPr>
      <w:r>
        <w:rPr>
          <w:color w:val="231F20"/>
          <w:spacing w:val="3"/>
        </w:rPr>
        <w:t>In </w:t>
      </w:r>
      <w:r>
        <w:rPr>
          <w:i/>
          <w:color w:val="231F20"/>
          <w:spacing w:val="5"/>
        </w:rPr>
        <w:t>Boatright, </w:t>
      </w:r>
      <w:r>
        <w:rPr>
          <w:color w:val="231F20"/>
          <w:spacing w:val="4"/>
        </w:rPr>
        <w:t>the </w:t>
      </w:r>
      <w:r>
        <w:rPr>
          <w:color w:val="231F20"/>
          <w:spacing w:val="5"/>
        </w:rPr>
        <w:t>plaintiffs </w:t>
      </w:r>
      <w:r>
        <w:rPr>
          <w:color w:val="231F20"/>
          <w:spacing w:val="6"/>
        </w:rPr>
        <w:t>served</w:t>
      </w:r>
      <w:r>
        <w:rPr>
          <w:color w:val="231F20"/>
          <w:spacing w:val="67"/>
        </w:rPr>
        <w:t> </w:t>
      </w:r>
      <w:r>
        <w:rPr>
          <w:color w:val="231F20"/>
        </w:rPr>
        <w:t>four proposals for settlement on </w:t>
      </w:r>
      <w:r>
        <w:rPr>
          <w:color w:val="231F20"/>
          <w:spacing w:val="2"/>
        </w:rPr>
        <w:t>the defendants via U.S. certified </w:t>
      </w:r>
      <w:r>
        <w:rPr>
          <w:color w:val="231F20"/>
          <w:spacing w:val="3"/>
        </w:rPr>
        <w:t>mail</w:t>
      </w:r>
      <w:r>
        <w:rPr>
          <w:i/>
          <w:color w:val="231F20"/>
          <w:spacing w:val="3"/>
        </w:rPr>
        <w:t>.</w:t>
      </w:r>
      <w:r>
        <w:rPr>
          <w:color w:val="231F20"/>
          <w:spacing w:val="3"/>
          <w:position w:val="7"/>
          <w:sz w:val="12"/>
        </w:rPr>
        <w:t>33 </w:t>
      </w:r>
      <w:r>
        <w:rPr>
          <w:color w:val="231F20"/>
        </w:rPr>
        <w:t>After a favorable verdict, the plaintiffs moved</w:t>
      </w:r>
      <w:r>
        <w:rPr>
          <w:color w:val="231F20"/>
          <w:spacing w:val="-19"/>
        </w:rPr>
        <w:t> </w:t>
      </w:r>
      <w:r>
        <w:rPr>
          <w:color w:val="231F20"/>
        </w:rPr>
        <w:t>for</w:t>
      </w:r>
      <w:r>
        <w:rPr>
          <w:color w:val="231F20"/>
          <w:spacing w:val="-19"/>
        </w:rPr>
        <w:t> </w:t>
      </w:r>
      <w:r>
        <w:rPr>
          <w:color w:val="231F20"/>
        </w:rPr>
        <w:t>attorneys’</w:t>
      </w:r>
      <w:r>
        <w:rPr>
          <w:color w:val="231F20"/>
          <w:spacing w:val="-25"/>
        </w:rPr>
        <w:t> </w:t>
      </w:r>
      <w:r>
        <w:rPr>
          <w:color w:val="231F20"/>
        </w:rPr>
        <w:t>fees</w:t>
      </w:r>
      <w:r>
        <w:rPr>
          <w:color w:val="231F20"/>
          <w:spacing w:val="-19"/>
        </w:rPr>
        <w:t> </w:t>
      </w:r>
      <w:r>
        <w:rPr>
          <w:color w:val="231F20"/>
        </w:rPr>
        <w:t>based</w:t>
      </w:r>
      <w:r>
        <w:rPr>
          <w:color w:val="231F20"/>
          <w:spacing w:val="-19"/>
        </w:rPr>
        <w:t> </w:t>
      </w:r>
      <w:r>
        <w:rPr>
          <w:color w:val="231F20"/>
        </w:rPr>
        <w:t>on</w:t>
      </w:r>
      <w:r>
        <w:rPr>
          <w:color w:val="231F20"/>
          <w:spacing w:val="-19"/>
        </w:rPr>
        <w:t> </w:t>
      </w:r>
      <w:r>
        <w:rPr>
          <w:color w:val="231F20"/>
        </w:rPr>
        <w:t>the defendants’ failure to accept the pro- posals for settlement.</w:t>
      </w:r>
      <w:r>
        <w:rPr>
          <w:color w:val="231F20"/>
          <w:position w:val="7"/>
          <w:sz w:val="12"/>
        </w:rPr>
        <w:t>34 </w:t>
      </w:r>
      <w:r>
        <w:rPr>
          <w:color w:val="231F20"/>
        </w:rPr>
        <w:t>The trial court denied the motion due to the</w:t>
      </w:r>
      <w:r>
        <w:rPr>
          <w:color w:val="231F20"/>
          <w:spacing w:val="-18"/>
        </w:rPr>
        <w:t> </w:t>
      </w:r>
      <w:r>
        <w:rPr>
          <w:color w:val="231F20"/>
        </w:rPr>
        <w:t>plaintiffs’ failure</w:t>
      </w:r>
      <w:r>
        <w:rPr>
          <w:color w:val="231F20"/>
          <w:spacing w:val="-16"/>
        </w:rPr>
        <w:t> </w:t>
      </w:r>
      <w:r>
        <w:rPr>
          <w:color w:val="231F20"/>
        </w:rPr>
        <w:t>to</w:t>
      </w:r>
      <w:r>
        <w:rPr>
          <w:color w:val="231F20"/>
          <w:spacing w:val="-15"/>
        </w:rPr>
        <w:t> </w:t>
      </w:r>
      <w:r>
        <w:rPr>
          <w:color w:val="231F20"/>
        </w:rPr>
        <w:t>serve</w:t>
      </w:r>
      <w:r>
        <w:rPr>
          <w:color w:val="231F20"/>
          <w:spacing w:val="-15"/>
        </w:rPr>
        <w:t> </w:t>
      </w:r>
      <w:r>
        <w:rPr>
          <w:color w:val="231F20"/>
        </w:rPr>
        <w:t>the</w:t>
      </w:r>
      <w:r>
        <w:rPr>
          <w:color w:val="231F20"/>
          <w:spacing w:val="-16"/>
        </w:rPr>
        <w:t> </w:t>
      </w:r>
      <w:r>
        <w:rPr>
          <w:color w:val="231F20"/>
        </w:rPr>
        <w:t>proposals</w:t>
      </w:r>
      <w:r>
        <w:rPr>
          <w:color w:val="231F20"/>
          <w:spacing w:val="-15"/>
        </w:rPr>
        <w:t> </w:t>
      </w:r>
      <w:r>
        <w:rPr>
          <w:color w:val="231F20"/>
        </w:rPr>
        <w:t>by</w:t>
      </w:r>
      <w:r>
        <w:rPr>
          <w:color w:val="231F20"/>
          <w:spacing w:val="-15"/>
        </w:rPr>
        <w:t> </w:t>
      </w:r>
      <w:r>
        <w:rPr>
          <w:color w:val="231F20"/>
        </w:rPr>
        <w:t>e-mail in</w:t>
      </w:r>
      <w:r>
        <w:rPr>
          <w:color w:val="231F20"/>
          <w:spacing w:val="-22"/>
        </w:rPr>
        <w:t> </w:t>
      </w:r>
      <w:r>
        <w:rPr>
          <w:color w:val="231F20"/>
        </w:rPr>
        <w:t>strict</w:t>
      </w:r>
      <w:r>
        <w:rPr>
          <w:color w:val="231F20"/>
          <w:spacing w:val="-21"/>
        </w:rPr>
        <w:t> </w:t>
      </w:r>
      <w:r>
        <w:rPr>
          <w:color w:val="231F20"/>
        </w:rPr>
        <w:t>compliance</w:t>
      </w:r>
      <w:r>
        <w:rPr>
          <w:color w:val="231F20"/>
          <w:spacing w:val="-21"/>
        </w:rPr>
        <w:t> </w:t>
      </w:r>
      <w:r>
        <w:rPr>
          <w:color w:val="231F20"/>
        </w:rPr>
        <w:t>with</w:t>
      </w:r>
      <w:r>
        <w:rPr>
          <w:color w:val="231F20"/>
          <w:spacing w:val="-21"/>
        </w:rPr>
        <w:t> </w:t>
      </w:r>
      <w:r>
        <w:rPr>
          <w:color w:val="231F20"/>
        </w:rPr>
        <w:t>section</w:t>
      </w:r>
      <w:r>
        <w:rPr>
          <w:color w:val="231F20"/>
          <w:spacing w:val="-21"/>
        </w:rPr>
        <w:t> </w:t>
      </w:r>
      <w:r>
        <w:rPr>
          <w:color w:val="231F20"/>
          <w:spacing w:val="-2"/>
        </w:rPr>
        <w:t>768.79 </w:t>
      </w:r>
      <w:r>
        <w:rPr>
          <w:color w:val="231F20"/>
        </w:rPr>
        <w:t>and rule 1.442.</w:t>
      </w:r>
      <w:r>
        <w:rPr>
          <w:color w:val="231F20"/>
          <w:position w:val="7"/>
          <w:sz w:val="12"/>
        </w:rPr>
        <w:t>35 </w:t>
      </w:r>
      <w:r>
        <w:rPr>
          <w:color w:val="231F20"/>
        </w:rPr>
        <w:t>The Second District </w:t>
      </w:r>
      <w:r>
        <w:rPr>
          <w:color w:val="231F20"/>
          <w:spacing w:val="2"/>
        </w:rPr>
        <w:t>reversed, holding that proposals </w:t>
      </w:r>
      <w:r>
        <w:rPr>
          <w:color w:val="231F20"/>
          <w:spacing w:val="3"/>
        </w:rPr>
        <w:t>for </w:t>
      </w:r>
      <w:r>
        <w:rPr>
          <w:color w:val="231F20"/>
        </w:rPr>
        <w:t>settlement need not follow the service requirements</w:t>
      </w:r>
      <w:r>
        <w:rPr>
          <w:color w:val="231F20"/>
          <w:spacing w:val="-26"/>
        </w:rPr>
        <w:t> </w:t>
      </w:r>
      <w:r>
        <w:rPr>
          <w:color w:val="231F20"/>
        </w:rPr>
        <w:t>of</w:t>
      </w:r>
      <w:r>
        <w:rPr>
          <w:color w:val="231F20"/>
          <w:spacing w:val="-26"/>
        </w:rPr>
        <w:t> </w:t>
      </w:r>
      <w:r>
        <w:rPr>
          <w:color w:val="231F20"/>
        </w:rPr>
        <w:t>rule</w:t>
      </w:r>
      <w:r>
        <w:rPr>
          <w:color w:val="231F20"/>
          <w:spacing w:val="-25"/>
        </w:rPr>
        <w:t> </w:t>
      </w:r>
      <w:r>
        <w:rPr>
          <w:color w:val="231F20"/>
        </w:rPr>
        <w:t>2.516</w:t>
      </w:r>
      <w:r>
        <w:rPr>
          <w:color w:val="231F20"/>
          <w:spacing w:val="-26"/>
        </w:rPr>
        <w:t> </w:t>
      </w:r>
      <w:r>
        <w:rPr>
          <w:color w:val="231F20"/>
        </w:rPr>
        <w:t>because</w:t>
      </w:r>
      <w:r>
        <w:rPr>
          <w:color w:val="231F20"/>
          <w:spacing w:val="-26"/>
        </w:rPr>
        <w:t> </w:t>
      </w:r>
      <w:r>
        <w:rPr>
          <w:color w:val="231F20"/>
          <w:spacing w:val="-2"/>
        </w:rPr>
        <w:t>the </w:t>
      </w:r>
      <w:r>
        <w:rPr>
          <w:color w:val="231F20"/>
        </w:rPr>
        <w:t>proposals do not meet rule 1.080(a)’s requirement that they be “filed in the action.”</w:t>
      </w:r>
      <w:r>
        <w:rPr>
          <w:color w:val="231F20"/>
          <w:position w:val="7"/>
          <w:sz w:val="12"/>
        </w:rPr>
        <w:t>36 </w:t>
      </w:r>
      <w:r>
        <w:rPr>
          <w:color w:val="231F20"/>
        </w:rPr>
        <w:t>The Second District rejected the </w:t>
      </w:r>
      <w:r>
        <w:rPr>
          <w:i/>
          <w:color w:val="231F20"/>
        </w:rPr>
        <w:t>Wheaton </w:t>
      </w:r>
      <w:r>
        <w:rPr>
          <w:color w:val="231F20"/>
        </w:rPr>
        <w:t>court’s reliance on sub- division</w:t>
      </w:r>
      <w:r>
        <w:rPr>
          <w:color w:val="231F20"/>
          <w:spacing w:val="-8"/>
        </w:rPr>
        <w:t> </w:t>
      </w:r>
      <w:r>
        <w:rPr>
          <w:color w:val="231F20"/>
        </w:rPr>
        <w:t>(b)</w:t>
      </w:r>
      <w:r>
        <w:rPr>
          <w:color w:val="231F20"/>
          <w:spacing w:val="-9"/>
        </w:rPr>
        <w:t> </w:t>
      </w:r>
      <w:r>
        <w:rPr>
          <w:color w:val="231F20"/>
        </w:rPr>
        <w:t>of</w:t>
      </w:r>
      <w:r>
        <w:rPr>
          <w:color w:val="231F20"/>
          <w:spacing w:val="-9"/>
        </w:rPr>
        <w:t> </w:t>
      </w:r>
      <w:r>
        <w:rPr>
          <w:color w:val="231F20"/>
        </w:rPr>
        <w:t>rule</w:t>
      </w:r>
      <w:r>
        <w:rPr>
          <w:color w:val="231F20"/>
          <w:spacing w:val="-9"/>
        </w:rPr>
        <w:t> </w:t>
      </w:r>
      <w:r>
        <w:rPr>
          <w:color w:val="231F20"/>
        </w:rPr>
        <w:t>2.516,</w:t>
      </w:r>
      <w:r>
        <w:rPr>
          <w:color w:val="231F20"/>
          <w:spacing w:val="-9"/>
        </w:rPr>
        <w:t> </w:t>
      </w:r>
      <w:r>
        <w:rPr>
          <w:color w:val="231F20"/>
        </w:rPr>
        <w:t>because</w:t>
      </w:r>
      <w:r>
        <w:rPr>
          <w:color w:val="231F20"/>
          <w:spacing w:val="-9"/>
        </w:rPr>
        <w:t> </w:t>
      </w:r>
      <w:r>
        <w:rPr>
          <w:color w:val="231F20"/>
        </w:rPr>
        <w:t>rule 2.516(b)(1)’s service requirement “is confined</w:t>
      </w:r>
      <w:r>
        <w:rPr>
          <w:color w:val="231F20"/>
          <w:spacing w:val="-21"/>
        </w:rPr>
        <w:t> </w:t>
      </w:r>
      <w:r>
        <w:rPr>
          <w:color w:val="231F20"/>
        </w:rPr>
        <w:t>to</w:t>
      </w:r>
      <w:r>
        <w:rPr>
          <w:color w:val="231F20"/>
          <w:spacing w:val="-21"/>
        </w:rPr>
        <w:t> </w:t>
      </w:r>
      <w:r>
        <w:rPr>
          <w:color w:val="231F20"/>
        </w:rPr>
        <w:t>every</w:t>
      </w:r>
      <w:r>
        <w:rPr>
          <w:color w:val="231F20"/>
          <w:spacing w:val="-21"/>
        </w:rPr>
        <w:t> </w:t>
      </w:r>
      <w:r>
        <w:rPr>
          <w:color w:val="231F20"/>
        </w:rPr>
        <w:t>pleading</w:t>
      </w:r>
      <w:r>
        <w:rPr>
          <w:color w:val="231F20"/>
          <w:spacing w:val="-21"/>
        </w:rPr>
        <w:t> </w:t>
      </w:r>
      <w:r>
        <w:rPr>
          <w:color w:val="231F20"/>
        </w:rPr>
        <w:t>subsequent to the initial pleading and documents that are filed in court,” but “it does not extend to every document” subject to service.</w:t>
      </w:r>
      <w:r>
        <w:rPr>
          <w:color w:val="231F20"/>
          <w:position w:val="7"/>
          <w:sz w:val="12"/>
        </w:rPr>
        <w:t>37</w:t>
      </w:r>
    </w:p>
    <w:p>
      <w:pPr>
        <w:pStyle w:val="BodyText"/>
        <w:spacing w:line="252" w:lineRule="auto"/>
        <w:ind w:left="120" w:right="284" w:firstLine="180"/>
        <w:jc w:val="both"/>
      </w:pPr>
      <w:r>
        <w:rPr>
          <w:color w:val="231F20"/>
        </w:rPr>
        <w:t>In </w:t>
      </w:r>
      <w:r>
        <w:rPr>
          <w:i/>
          <w:color w:val="231F20"/>
        </w:rPr>
        <w:t>McCoy</w:t>
      </w:r>
      <w:r>
        <w:rPr>
          <w:color w:val="231F20"/>
        </w:rPr>
        <w:t>, the plaintiff also served a proposal for settlement on defendants by</w:t>
      </w:r>
      <w:r>
        <w:rPr>
          <w:color w:val="231F20"/>
          <w:spacing w:val="-24"/>
        </w:rPr>
        <w:t> </w:t>
      </w:r>
      <w:r>
        <w:rPr>
          <w:color w:val="231F20"/>
        </w:rPr>
        <w:t>U.S.</w:t>
      </w:r>
      <w:r>
        <w:rPr>
          <w:color w:val="231F20"/>
          <w:spacing w:val="-24"/>
        </w:rPr>
        <w:t> </w:t>
      </w:r>
      <w:r>
        <w:rPr>
          <w:color w:val="231F20"/>
        </w:rPr>
        <w:t>certified</w:t>
      </w:r>
      <w:r>
        <w:rPr>
          <w:color w:val="231F20"/>
          <w:spacing w:val="-24"/>
        </w:rPr>
        <w:t> </w:t>
      </w:r>
      <w:r>
        <w:rPr>
          <w:color w:val="231F20"/>
        </w:rPr>
        <w:t>mail.</w:t>
      </w:r>
      <w:r>
        <w:rPr>
          <w:color w:val="231F20"/>
          <w:position w:val="7"/>
          <w:sz w:val="12"/>
        </w:rPr>
        <w:t>38</w:t>
      </w:r>
      <w:r>
        <w:rPr>
          <w:color w:val="231F20"/>
          <w:spacing w:val="-4"/>
          <w:position w:val="7"/>
          <w:sz w:val="12"/>
        </w:rPr>
        <w:t> </w:t>
      </w:r>
      <w:r>
        <w:rPr>
          <w:color w:val="231F20"/>
        </w:rPr>
        <w:t>The</w:t>
      </w:r>
      <w:r>
        <w:rPr>
          <w:color w:val="231F20"/>
          <w:spacing w:val="-23"/>
        </w:rPr>
        <w:t> </w:t>
      </w:r>
      <w:r>
        <w:rPr>
          <w:color w:val="231F20"/>
        </w:rPr>
        <w:t>defendants did not accept the proposals.</w:t>
      </w:r>
      <w:r>
        <w:rPr>
          <w:color w:val="231F20"/>
          <w:position w:val="7"/>
          <w:sz w:val="12"/>
        </w:rPr>
        <w:t>39 </w:t>
      </w:r>
      <w:r>
        <w:rPr>
          <w:color w:val="231F20"/>
        </w:rPr>
        <w:t>After a favorable verdict, the plaintiff moved for attorneys’ fees.</w:t>
      </w:r>
      <w:r>
        <w:rPr>
          <w:color w:val="231F20"/>
          <w:position w:val="7"/>
          <w:sz w:val="12"/>
        </w:rPr>
        <w:t>40 </w:t>
      </w:r>
      <w:r>
        <w:rPr>
          <w:color w:val="231F20"/>
        </w:rPr>
        <w:t>The defendants argued</w:t>
      </w:r>
      <w:r>
        <w:rPr>
          <w:color w:val="231F20"/>
          <w:spacing w:val="-9"/>
        </w:rPr>
        <w:t> </w:t>
      </w:r>
      <w:r>
        <w:rPr>
          <w:color w:val="231F20"/>
        </w:rPr>
        <w:t>that</w:t>
      </w:r>
      <w:r>
        <w:rPr>
          <w:color w:val="231F20"/>
          <w:spacing w:val="-8"/>
        </w:rPr>
        <w:t> </w:t>
      </w:r>
      <w:r>
        <w:rPr>
          <w:color w:val="231F20"/>
        </w:rPr>
        <w:t>the</w:t>
      </w:r>
      <w:r>
        <w:rPr>
          <w:color w:val="231F20"/>
          <w:spacing w:val="-9"/>
        </w:rPr>
        <w:t> </w:t>
      </w:r>
      <w:r>
        <w:rPr>
          <w:color w:val="231F20"/>
        </w:rPr>
        <w:t>plaintiff</w:t>
      </w:r>
      <w:r>
        <w:rPr>
          <w:color w:val="231F20"/>
          <w:spacing w:val="-8"/>
        </w:rPr>
        <w:t> </w:t>
      </w:r>
      <w:r>
        <w:rPr>
          <w:color w:val="231F20"/>
        </w:rPr>
        <w:t>failed</w:t>
      </w:r>
      <w:r>
        <w:rPr>
          <w:color w:val="231F20"/>
          <w:spacing w:val="-8"/>
        </w:rPr>
        <w:t> </w:t>
      </w:r>
      <w:r>
        <w:rPr>
          <w:color w:val="231F20"/>
        </w:rPr>
        <w:t>to</w:t>
      </w:r>
      <w:r>
        <w:rPr>
          <w:color w:val="231F20"/>
          <w:spacing w:val="-9"/>
        </w:rPr>
        <w:t> </w:t>
      </w:r>
      <w:r>
        <w:rPr>
          <w:color w:val="231F20"/>
        </w:rPr>
        <w:t>e-mail the proposals pursuant to rule 2.516, and</w:t>
      </w:r>
      <w:r>
        <w:rPr>
          <w:color w:val="231F20"/>
          <w:spacing w:val="-16"/>
        </w:rPr>
        <w:t> </w:t>
      </w:r>
      <w:r>
        <w:rPr>
          <w:color w:val="231F20"/>
        </w:rPr>
        <w:t>the</w:t>
      </w:r>
      <w:r>
        <w:rPr>
          <w:color w:val="231F20"/>
          <w:spacing w:val="-15"/>
        </w:rPr>
        <w:t> </w:t>
      </w:r>
      <w:r>
        <w:rPr>
          <w:color w:val="231F20"/>
        </w:rPr>
        <w:t>trial</w:t>
      </w:r>
      <w:r>
        <w:rPr>
          <w:color w:val="231F20"/>
          <w:spacing w:val="-16"/>
        </w:rPr>
        <w:t> </w:t>
      </w:r>
      <w:r>
        <w:rPr>
          <w:color w:val="231F20"/>
        </w:rPr>
        <w:t>court</w:t>
      </w:r>
      <w:r>
        <w:rPr>
          <w:color w:val="231F20"/>
          <w:spacing w:val="-15"/>
        </w:rPr>
        <w:t> </w:t>
      </w:r>
      <w:r>
        <w:rPr>
          <w:color w:val="231F20"/>
        </w:rPr>
        <w:t>agreed.</w:t>
      </w:r>
      <w:r>
        <w:rPr>
          <w:color w:val="231F20"/>
          <w:position w:val="7"/>
          <w:sz w:val="12"/>
        </w:rPr>
        <w:t>41</w:t>
      </w:r>
      <w:r>
        <w:rPr>
          <w:color w:val="231F20"/>
          <w:spacing w:val="2"/>
          <w:position w:val="7"/>
          <w:sz w:val="12"/>
        </w:rPr>
        <w:t> </w:t>
      </w:r>
      <w:r>
        <w:rPr>
          <w:color w:val="231F20"/>
        </w:rPr>
        <w:t>The</w:t>
      </w:r>
      <w:r>
        <w:rPr>
          <w:color w:val="231F20"/>
          <w:spacing w:val="-15"/>
        </w:rPr>
        <w:t> </w:t>
      </w:r>
      <w:r>
        <w:rPr>
          <w:color w:val="231F20"/>
        </w:rPr>
        <w:t>Fourth</w:t>
      </w:r>
    </w:p>
    <w:p>
      <w:pPr>
        <w:spacing w:after="0" w:line="252" w:lineRule="auto"/>
        <w:jc w:val="both"/>
        <w:sectPr>
          <w:headerReference w:type="default" r:id="rId74"/>
          <w:footerReference w:type="default" r:id="rId75"/>
          <w:pgSz w:w="12240" w:h="15840"/>
          <w:pgMar w:header="0" w:footer="558" w:top="840" w:bottom="740" w:left="720" w:right="540"/>
          <w:pgNumType w:start="12"/>
          <w:cols w:num="3" w:equalWidth="0">
            <w:col w:w="3539" w:space="71"/>
            <w:col w:w="3530" w:space="70"/>
            <w:col w:w="3770"/>
          </w:cols>
        </w:sectPr>
      </w:pPr>
    </w:p>
    <w:p>
      <w:pPr>
        <w:pStyle w:val="BodyText"/>
        <w:spacing w:line="252" w:lineRule="auto" w:before="78"/>
        <w:ind w:left="120" w:right="38"/>
        <w:jc w:val="both"/>
      </w:pPr>
      <w:r>
        <w:rPr>
          <w:color w:val="231F20"/>
        </w:rPr>
        <w:t>District reversed, finding that,</w:t>
      </w:r>
      <w:r>
        <w:rPr>
          <w:color w:val="231F20"/>
          <w:spacing w:val="-16"/>
        </w:rPr>
        <w:t> </w:t>
      </w:r>
      <w:r>
        <w:rPr>
          <w:color w:val="231F20"/>
        </w:rPr>
        <w:t>“[w]here a party has actual notice of an offer of settlement, and the offering party has satisfied  the  requirements  of</w:t>
      </w:r>
      <w:r>
        <w:rPr>
          <w:color w:val="231F20"/>
          <w:spacing w:val="-20"/>
        </w:rPr>
        <w:t> </w:t>
      </w:r>
      <w:r>
        <w:rPr>
          <w:color w:val="231F20"/>
        </w:rPr>
        <w:t>section</w:t>
      </w:r>
    </w:p>
    <w:p>
      <w:pPr>
        <w:pStyle w:val="BodyText"/>
        <w:spacing w:line="252" w:lineRule="auto" w:before="3"/>
        <w:ind w:left="120" w:right="38"/>
        <w:jc w:val="both"/>
      </w:pPr>
      <w:r>
        <w:rPr>
          <w:color w:val="231F20"/>
        </w:rPr>
        <w:t>768.79 on entitlement, to deny recov- ery because the initial offer was not e-mailed is to allow the procedural tail of</w:t>
      </w:r>
      <w:r>
        <w:rPr>
          <w:color w:val="231F20"/>
          <w:spacing w:val="-23"/>
        </w:rPr>
        <w:t> </w:t>
      </w:r>
      <w:r>
        <w:rPr>
          <w:color w:val="231F20"/>
        </w:rPr>
        <w:t>the</w:t>
      </w:r>
      <w:r>
        <w:rPr>
          <w:color w:val="231F20"/>
          <w:spacing w:val="-22"/>
        </w:rPr>
        <w:t> </w:t>
      </w:r>
      <w:r>
        <w:rPr>
          <w:color w:val="231F20"/>
        </w:rPr>
        <w:t>law</w:t>
      </w:r>
      <w:r>
        <w:rPr>
          <w:color w:val="231F20"/>
          <w:spacing w:val="-22"/>
        </w:rPr>
        <w:t> </w:t>
      </w:r>
      <w:r>
        <w:rPr>
          <w:color w:val="231F20"/>
        </w:rPr>
        <w:t>to</w:t>
      </w:r>
      <w:r>
        <w:rPr>
          <w:color w:val="231F20"/>
          <w:spacing w:val="-22"/>
        </w:rPr>
        <w:t> </w:t>
      </w:r>
      <w:r>
        <w:rPr>
          <w:color w:val="231F20"/>
        </w:rPr>
        <w:t>wag</w:t>
      </w:r>
      <w:r>
        <w:rPr>
          <w:color w:val="231F20"/>
          <w:spacing w:val="-22"/>
        </w:rPr>
        <w:t> </w:t>
      </w:r>
      <w:r>
        <w:rPr>
          <w:color w:val="231F20"/>
        </w:rPr>
        <w:t>the</w:t>
      </w:r>
      <w:r>
        <w:rPr>
          <w:color w:val="231F20"/>
          <w:spacing w:val="-22"/>
        </w:rPr>
        <w:t> </w:t>
      </w:r>
      <w:r>
        <w:rPr>
          <w:color w:val="231F20"/>
          <w:spacing w:val="-3"/>
        </w:rPr>
        <w:t>substantive</w:t>
      </w:r>
      <w:r>
        <w:rPr>
          <w:color w:val="231F20"/>
          <w:spacing w:val="-22"/>
        </w:rPr>
        <w:t> </w:t>
      </w:r>
      <w:r>
        <w:rPr>
          <w:color w:val="231F20"/>
          <w:spacing w:val="-3"/>
        </w:rPr>
        <w:t>dog.”</w:t>
      </w:r>
      <w:r>
        <w:rPr>
          <w:color w:val="231F20"/>
          <w:spacing w:val="-3"/>
          <w:position w:val="7"/>
          <w:sz w:val="12"/>
        </w:rPr>
        <w:t>42</w:t>
      </w:r>
      <w:r>
        <w:rPr>
          <w:color w:val="231F20"/>
          <w:spacing w:val="-3"/>
          <w:sz w:val="12"/>
        </w:rPr>
        <w:t> </w:t>
      </w:r>
      <w:r>
        <w:rPr>
          <w:color w:val="231F20"/>
        </w:rPr>
        <w:t>Because both section 768.79 and</w:t>
      </w:r>
      <w:r>
        <w:rPr>
          <w:color w:val="231F20"/>
          <w:spacing w:val="-10"/>
        </w:rPr>
        <w:t> </w:t>
      </w:r>
      <w:r>
        <w:rPr>
          <w:color w:val="231F20"/>
        </w:rPr>
        <w:t>rule</w:t>
      </w:r>
    </w:p>
    <w:p>
      <w:pPr>
        <w:pStyle w:val="BodyText"/>
        <w:spacing w:line="252" w:lineRule="auto" w:before="5"/>
        <w:ind w:left="119" w:right="38"/>
        <w:jc w:val="both"/>
        <w:rPr>
          <w:sz w:val="12"/>
        </w:rPr>
      </w:pPr>
      <w:r>
        <w:rPr>
          <w:color w:val="231F20"/>
        </w:rPr>
        <w:t>1.442 require service of proposals for settlement</w:t>
      </w:r>
      <w:r>
        <w:rPr>
          <w:color w:val="231F20"/>
          <w:spacing w:val="-22"/>
        </w:rPr>
        <w:t> </w:t>
      </w:r>
      <w:r>
        <w:rPr>
          <w:color w:val="231F20"/>
        </w:rPr>
        <w:t>but</w:t>
      </w:r>
      <w:r>
        <w:rPr>
          <w:color w:val="231F20"/>
          <w:spacing w:val="-21"/>
        </w:rPr>
        <w:t> </w:t>
      </w:r>
      <w:r>
        <w:rPr>
          <w:color w:val="231F20"/>
        </w:rPr>
        <w:t>prohibit</w:t>
      </w:r>
      <w:r>
        <w:rPr>
          <w:color w:val="231F20"/>
          <w:spacing w:val="-22"/>
        </w:rPr>
        <w:t> </w:t>
      </w:r>
      <w:r>
        <w:rPr>
          <w:color w:val="231F20"/>
        </w:rPr>
        <w:t>filing,</w:t>
      </w:r>
      <w:r>
        <w:rPr>
          <w:color w:val="231F20"/>
          <w:spacing w:val="-21"/>
        </w:rPr>
        <w:t> </w:t>
      </w:r>
      <w:r>
        <w:rPr>
          <w:color w:val="231F20"/>
        </w:rPr>
        <w:t>the</w:t>
      </w:r>
      <w:r>
        <w:rPr>
          <w:color w:val="231F20"/>
          <w:spacing w:val="-22"/>
        </w:rPr>
        <w:t> </w:t>
      </w:r>
      <w:r>
        <w:rPr>
          <w:color w:val="231F20"/>
        </w:rPr>
        <w:t>Fourth </w:t>
      </w:r>
      <w:r>
        <w:rPr>
          <w:color w:val="231F20"/>
          <w:spacing w:val="2"/>
        </w:rPr>
        <w:t>District held that, </w:t>
      </w:r>
      <w:r>
        <w:rPr>
          <w:color w:val="231F20"/>
        </w:rPr>
        <w:t>as </w:t>
      </w:r>
      <w:r>
        <w:rPr>
          <w:color w:val="231F20"/>
          <w:spacing w:val="2"/>
        </w:rPr>
        <w:t>applied </w:t>
      </w:r>
      <w:r>
        <w:rPr>
          <w:color w:val="231F20"/>
        </w:rPr>
        <w:t>to </w:t>
      </w:r>
      <w:r>
        <w:rPr>
          <w:color w:val="231F20"/>
          <w:spacing w:val="3"/>
        </w:rPr>
        <w:t>rule </w:t>
      </w:r>
      <w:r>
        <w:rPr>
          <w:color w:val="231F20"/>
        </w:rPr>
        <w:t>2.516(a),</w:t>
      </w:r>
      <w:r>
        <w:rPr>
          <w:color w:val="231F20"/>
          <w:spacing w:val="-25"/>
        </w:rPr>
        <w:t> </w:t>
      </w:r>
      <w:r>
        <w:rPr>
          <w:color w:val="231F20"/>
        </w:rPr>
        <w:t>a</w:t>
      </w:r>
      <w:r>
        <w:rPr>
          <w:color w:val="231F20"/>
          <w:spacing w:val="-24"/>
        </w:rPr>
        <w:t> </w:t>
      </w:r>
      <w:r>
        <w:rPr>
          <w:color w:val="231F20"/>
        </w:rPr>
        <w:t>proposal</w:t>
      </w:r>
      <w:r>
        <w:rPr>
          <w:color w:val="231F20"/>
          <w:spacing w:val="-24"/>
        </w:rPr>
        <w:t> </w:t>
      </w:r>
      <w:r>
        <w:rPr>
          <w:color w:val="231F20"/>
        </w:rPr>
        <w:t>for</w:t>
      </w:r>
      <w:r>
        <w:rPr>
          <w:color w:val="231F20"/>
          <w:spacing w:val="-23"/>
        </w:rPr>
        <w:t> </w:t>
      </w:r>
      <w:r>
        <w:rPr>
          <w:color w:val="231F20"/>
        </w:rPr>
        <w:t>settlement</w:t>
      </w:r>
      <w:r>
        <w:rPr>
          <w:color w:val="231F20"/>
          <w:spacing w:val="-23"/>
        </w:rPr>
        <w:t> </w:t>
      </w:r>
      <w:r>
        <w:rPr>
          <w:color w:val="231F20"/>
          <w:spacing w:val="-2"/>
        </w:rPr>
        <w:t>was </w:t>
      </w:r>
      <w:r>
        <w:rPr>
          <w:color w:val="231F20"/>
          <w:spacing w:val="-3"/>
        </w:rPr>
        <w:t>neither</w:t>
      </w:r>
      <w:r>
        <w:rPr>
          <w:color w:val="231F20"/>
          <w:spacing w:val="-19"/>
        </w:rPr>
        <w:t> </w:t>
      </w:r>
      <w:r>
        <w:rPr>
          <w:color w:val="231F20"/>
        </w:rPr>
        <w:t>a</w:t>
      </w:r>
      <w:r>
        <w:rPr>
          <w:color w:val="231F20"/>
          <w:spacing w:val="-18"/>
        </w:rPr>
        <w:t> </w:t>
      </w:r>
      <w:r>
        <w:rPr>
          <w:color w:val="231F20"/>
          <w:spacing w:val="-3"/>
        </w:rPr>
        <w:t>pleading</w:t>
      </w:r>
      <w:r>
        <w:rPr>
          <w:color w:val="231F20"/>
          <w:spacing w:val="-18"/>
        </w:rPr>
        <w:t> </w:t>
      </w:r>
      <w:r>
        <w:rPr>
          <w:color w:val="231F20"/>
        </w:rPr>
        <w:t>nor</w:t>
      </w:r>
      <w:r>
        <w:rPr>
          <w:color w:val="231F20"/>
          <w:spacing w:val="-19"/>
        </w:rPr>
        <w:t> </w:t>
      </w:r>
      <w:r>
        <w:rPr>
          <w:color w:val="231F20"/>
        </w:rPr>
        <w:t>a</w:t>
      </w:r>
      <w:r>
        <w:rPr>
          <w:color w:val="231F20"/>
          <w:spacing w:val="-18"/>
        </w:rPr>
        <w:t> </w:t>
      </w:r>
      <w:r>
        <w:rPr>
          <w:color w:val="231F20"/>
          <w:spacing w:val="-3"/>
        </w:rPr>
        <w:t>document</w:t>
      </w:r>
      <w:r>
        <w:rPr>
          <w:color w:val="231F20"/>
          <w:spacing w:val="-18"/>
        </w:rPr>
        <w:t> </w:t>
      </w:r>
      <w:r>
        <w:rPr>
          <w:color w:val="231F20"/>
          <w:spacing w:val="-3"/>
        </w:rPr>
        <w:t>“filed </w:t>
      </w:r>
      <w:r>
        <w:rPr>
          <w:color w:val="231F20"/>
        </w:rPr>
        <w:t>in any court proceeding.”</w:t>
      </w:r>
      <w:r>
        <w:rPr>
          <w:color w:val="231F20"/>
          <w:position w:val="7"/>
          <w:sz w:val="12"/>
        </w:rPr>
        <w:t>43 </w:t>
      </w:r>
      <w:r>
        <w:rPr>
          <w:color w:val="231F20"/>
        </w:rPr>
        <w:t>Thus, the district court concluded that under the “plain language” of rule 2.516(a), the initial offer of judgment was outside of the e-mail requirements.</w:t>
      </w:r>
      <w:r>
        <w:rPr>
          <w:color w:val="231F20"/>
          <w:position w:val="7"/>
          <w:sz w:val="12"/>
        </w:rPr>
        <w:t>44 </w:t>
      </w:r>
      <w:r>
        <w:rPr>
          <w:color w:val="231F20"/>
        </w:rPr>
        <w:t>The Fourth District</w:t>
      </w:r>
      <w:r>
        <w:rPr>
          <w:color w:val="231F20"/>
          <w:spacing w:val="-30"/>
        </w:rPr>
        <w:t> </w:t>
      </w:r>
      <w:r>
        <w:rPr>
          <w:color w:val="231F20"/>
        </w:rPr>
        <w:t>also</w:t>
      </w:r>
      <w:r>
        <w:rPr>
          <w:color w:val="231F20"/>
          <w:spacing w:val="-30"/>
        </w:rPr>
        <w:t> </w:t>
      </w:r>
      <w:r>
        <w:rPr>
          <w:color w:val="231F20"/>
        </w:rPr>
        <w:t>rejected</w:t>
      </w:r>
      <w:r>
        <w:rPr>
          <w:color w:val="231F20"/>
          <w:spacing w:val="-30"/>
        </w:rPr>
        <w:t> </w:t>
      </w:r>
      <w:r>
        <w:rPr>
          <w:i/>
          <w:color w:val="231F20"/>
        </w:rPr>
        <w:t>Wheaton</w:t>
      </w:r>
      <w:r>
        <w:rPr>
          <w:i/>
          <w:color w:val="231F20"/>
          <w:spacing w:val="-30"/>
        </w:rPr>
        <w:t> </w:t>
      </w:r>
      <w:r>
        <w:rPr>
          <w:color w:val="231F20"/>
        </w:rPr>
        <w:t>because “the Third District import[ed] language from rule 2.516(b) to add words to the plain language of 2.516(a),” thereby manipulating the meaning of the rule, and instead of focusing on subsection 2.516(a), which specified when e-mail service was “required,” used 2.516(b) to</w:t>
      </w:r>
      <w:r>
        <w:rPr>
          <w:color w:val="231F20"/>
          <w:spacing w:val="-23"/>
        </w:rPr>
        <w:t> </w:t>
      </w:r>
      <w:r>
        <w:rPr>
          <w:color w:val="231F20"/>
        </w:rPr>
        <w:t>hold</w:t>
      </w:r>
      <w:r>
        <w:rPr>
          <w:color w:val="231F20"/>
          <w:spacing w:val="-22"/>
        </w:rPr>
        <w:t> </w:t>
      </w:r>
      <w:r>
        <w:rPr>
          <w:color w:val="231F20"/>
        </w:rPr>
        <w:t>that</w:t>
      </w:r>
      <w:r>
        <w:rPr>
          <w:color w:val="231F20"/>
          <w:spacing w:val="-22"/>
        </w:rPr>
        <w:t> </w:t>
      </w:r>
      <w:r>
        <w:rPr>
          <w:color w:val="231F20"/>
        </w:rPr>
        <w:t>e-mail</w:t>
      </w:r>
      <w:r>
        <w:rPr>
          <w:color w:val="231F20"/>
          <w:spacing w:val="-22"/>
        </w:rPr>
        <w:t> </w:t>
      </w:r>
      <w:r>
        <w:rPr>
          <w:color w:val="231F20"/>
        </w:rPr>
        <w:t>service</w:t>
      </w:r>
      <w:r>
        <w:rPr>
          <w:color w:val="231F20"/>
          <w:spacing w:val="-22"/>
        </w:rPr>
        <w:t> </w:t>
      </w:r>
      <w:r>
        <w:rPr>
          <w:color w:val="231F20"/>
        </w:rPr>
        <w:t>was</w:t>
      </w:r>
      <w:r>
        <w:rPr>
          <w:color w:val="231F20"/>
          <w:spacing w:val="-23"/>
        </w:rPr>
        <w:t> </w:t>
      </w:r>
      <w:r>
        <w:rPr>
          <w:color w:val="231F20"/>
        </w:rPr>
        <w:t>required for</w:t>
      </w:r>
      <w:r>
        <w:rPr>
          <w:color w:val="231F20"/>
          <w:spacing w:val="-20"/>
        </w:rPr>
        <w:t> </w:t>
      </w:r>
      <w:r>
        <w:rPr>
          <w:color w:val="231F20"/>
        </w:rPr>
        <w:t>the</w:t>
      </w:r>
      <w:r>
        <w:rPr>
          <w:color w:val="231F20"/>
          <w:spacing w:val="-20"/>
        </w:rPr>
        <w:t> </w:t>
      </w:r>
      <w:r>
        <w:rPr>
          <w:color w:val="231F20"/>
        </w:rPr>
        <w:t>initial</w:t>
      </w:r>
      <w:r>
        <w:rPr>
          <w:color w:val="231F20"/>
          <w:spacing w:val="-20"/>
        </w:rPr>
        <w:t> </w:t>
      </w:r>
      <w:r>
        <w:rPr>
          <w:color w:val="231F20"/>
        </w:rPr>
        <w:t>delivery</w:t>
      </w:r>
      <w:r>
        <w:rPr>
          <w:color w:val="231F20"/>
          <w:spacing w:val="-19"/>
        </w:rPr>
        <w:t> </w:t>
      </w:r>
      <w:r>
        <w:rPr>
          <w:color w:val="231F20"/>
        </w:rPr>
        <w:t>of</w:t>
      </w:r>
      <w:r>
        <w:rPr>
          <w:color w:val="231F20"/>
          <w:spacing w:val="-20"/>
        </w:rPr>
        <w:t> </w:t>
      </w:r>
      <w:r>
        <w:rPr>
          <w:color w:val="231F20"/>
        </w:rPr>
        <w:t>an</w:t>
      </w:r>
      <w:r>
        <w:rPr>
          <w:color w:val="231F20"/>
          <w:spacing w:val="-20"/>
        </w:rPr>
        <w:t> </w:t>
      </w:r>
      <w:r>
        <w:rPr>
          <w:color w:val="231F20"/>
        </w:rPr>
        <w:t>offer</w:t>
      </w:r>
      <w:r>
        <w:rPr>
          <w:color w:val="231F20"/>
          <w:spacing w:val="-19"/>
        </w:rPr>
        <w:t> </w:t>
      </w:r>
      <w:r>
        <w:rPr>
          <w:color w:val="231F20"/>
        </w:rPr>
        <w:t>of</w:t>
      </w:r>
      <w:r>
        <w:rPr>
          <w:color w:val="231F20"/>
          <w:spacing w:val="-20"/>
        </w:rPr>
        <w:t> </w:t>
      </w:r>
      <w:r>
        <w:rPr>
          <w:color w:val="231F20"/>
        </w:rPr>
        <w:t>judg- ment.</w:t>
      </w:r>
      <w:r>
        <w:rPr>
          <w:color w:val="231F20"/>
          <w:position w:val="7"/>
          <w:sz w:val="12"/>
        </w:rPr>
        <w:t>45</w:t>
      </w:r>
    </w:p>
    <w:p>
      <w:pPr>
        <w:pStyle w:val="BodyText"/>
        <w:spacing w:line="252" w:lineRule="auto" w:before="19"/>
        <w:ind w:left="119" w:right="38" w:firstLine="180"/>
        <w:jc w:val="both"/>
        <w:rPr>
          <w:sz w:val="12"/>
        </w:rPr>
      </w:pPr>
      <w:r>
        <w:rPr>
          <w:color w:val="231F20"/>
        </w:rPr>
        <w:t>In </w:t>
      </w:r>
      <w:r>
        <w:rPr>
          <w:i/>
          <w:color w:val="231F20"/>
        </w:rPr>
        <w:t>Oldcastle, </w:t>
      </w:r>
      <w:r>
        <w:rPr>
          <w:color w:val="231F20"/>
        </w:rPr>
        <w:t>the plaintiff sent a pro- posal for settlement by e-mail.</w:t>
      </w:r>
      <w:r>
        <w:rPr>
          <w:color w:val="231F20"/>
          <w:position w:val="7"/>
          <w:sz w:val="12"/>
        </w:rPr>
        <w:t>46 </w:t>
      </w:r>
      <w:r>
        <w:rPr>
          <w:color w:val="231F20"/>
        </w:rPr>
        <w:t>The defendant received but did not accept the proposal.</w:t>
      </w:r>
      <w:r>
        <w:rPr>
          <w:color w:val="231F20"/>
          <w:position w:val="7"/>
          <w:sz w:val="12"/>
        </w:rPr>
        <w:t>47 </w:t>
      </w:r>
      <w:r>
        <w:rPr>
          <w:color w:val="231F20"/>
        </w:rPr>
        <w:t>After receiving a judg- </w:t>
      </w:r>
      <w:r>
        <w:rPr>
          <w:color w:val="231F20"/>
          <w:spacing w:val="-3"/>
        </w:rPr>
        <w:t>ment</w:t>
      </w:r>
      <w:r>
        <w:rPr>
          <w:color w:val="231F20"/>
          <w:spacing w:val="-18"/>
        </w:rPr>
        <w:t> </w:t>
      </w:r>
      <w:r>
        <w:rPr>
          <w:color w:val="231F20"/>
          <w:spacing w:val="-3"/>
        </w:rPr>
        <w:t>more</w:t>
      </w:r>
      <w:r>
        <w:rPr>
          <w:color w:val="231F20"/>
          <w:spacing w:val="-17"/>
        </w:rPr>
        <w:t> </w:t>
      </w:r>
      <w:r>
        <w:rPr>
          <w:color w:val="231F20"/>
          <w:spacing w:val="-3"/>
        </w:rPr>
        <w:t>than</w:t>
      </w:r>
      <w:r>
        <w:rPr>
          <w:color w:val="231F20"/>
          <w:spacing w:val="-17"/>
        </w:rPr>
        <w:t> </w:t>
      </w:r>
      <w:r>
        <w:rPr>
          <w:color w:val="231F20"/>
        </w:rPr>
        <w:t>25</w:t>
      </w:r>
      <w:r>
        <w:rPr>
          <w:color w:val="231F20"/>
          <w:spacing w:val="-17"/>
        </w:rPr>
        <w:t> </w:t>
      </w:r>
      <w:r>
        <w:rPr>
          <w:color w:val="231F20"/>
          <w:spacing w:val="-3"/>
        </w:rPr>
        <w:t>percent</w:t>
      </w:r>
      <w:r>
        <w:rPr>
          <w:color w:val="231F20"/>
          <w:spacing w:val="-17"/>
        </w:rPr>
        <w:t> </w:t>
      </w:r>
      <w:r>
        <w:rPr>
          <w:color w:val="231F20"/>
          <w:spacing w:val="-3"/>
        </w:rPr>
        <w:t>greater</w:t>
      </w:r>
      <w:r>
        <w:rPr>
          <w:color w:val="231F20"/>
          <w:spacing w:val="-18"/>
        </w:rPr>
        <w:t> </w:t>
      </w:r>
      <w:r>
        <w:rPr>
          <w:color w:val="231F20"/>
          <w:spacing w:val="-3"/>
        </w:rPr>
        <w:t>than </w:t>
      </w:r>
      <w:r>
        <w:rPr>
          <w:color w:val="231F20"/>
        </w:rPr>
        <w:t>the</w:t>
      </w:r>
      <w:r>
        <w:rPr>
          <w:color w:val="231F20"/>
          <w:spacing w:val="-17"/>
        </w:rPr>
        <w:t> </w:t>
      </w:r>
      <w:r>
        <w:rPr>
          <w:color w:val="231F20"/>
        </w:rPr>
        <w:t>amount</w:t>
      </w:r>
      <w:r>
        <w:rPr>
          <w:color w:val="231F20"/>
          <w:spacing w:val="-18"/>
        </w:rPr>
        <w:t> </w:t>
      </w:r>
      <w:r>
        <w:rPr>
          <w:color w:val="231F20"/>
        </w:rPr>
        <w:t>demanded</w:t>
      </w:r>
      <w:r>
        <w:rPr>
          <w:color w:val="231F20"/>
          <w:spacing w:val="-17"/>
        </w:rPr>
        <w:t> </w:t>
      </w:r>
      <w:r>
        <w:rPr>
          <w:color w:val="231F20"/>
        </w:rPr>
        <w:t>in</w:t>
      </w:r>
      <w:r>
        <w:rPr>
          <w:color w:val="231F20"/>
          <w:spacing w:val="-17"/>
        </w:rPr>
        <w:t> </w:t>
      </w:r>
      <w:r>
        <w:rPr>
          <w:color w:val="231F20"/>
        </w:rPr>
        <w:t>the</w:t>
      </w:r>
      <w:r>
        <w:rPr>
          <w:color w:val="231F20"/>
          <w:spacing w:val="-17"/>
        </w:rPr>
        <w:t> </w:t>
      </w:r>
      <w:r>
        <w:rPr>
          <w:color w:val="231F20"/>
        </w:rPr>
        <w:t>proposal, the plaintiff moved for fees.</w:t>
      </w:r>
      <w:r>
        <w:rPr>
          <w:color w:val="231F20"/>
          <w:position w:val="7"/>
          <w:sz w:val="12"/>
        </w:rPr>
        <w:t>48 </w:t>
      </w:r>
      <w:r>
        <w:rPr>
          <w:color w:val="231F20"/>
        </w:rPr>
        <w:t>The de- fendant argued that the proposal had to be served in accordance with rule 2.516,</w:t>
      </w:r>
      <w:r>
        <w:rPr>
          <w:color w:val="231F20"/>
          <w:spacing w:val="-22"/>
        </w:rPr>
        <w:t> </w:t>
      </w:r>
      <w:r>
        <w:rPr>
          <w:color w:val="231F20"/>
        </w:rPr>
        <w:t>but</w:t>
      </w:r>
      <w:r>
        <w:rPr>
          <w:color w:val="231F20"/>
          <w:spacing w:val="-22"/>
        </w:rPr>
        <w:t> </w:t>
      </w:r>
      <w:r>
        <w:rPr>
          <w:color w:val="231F20"/>
        </w:rPr>
        <w:t>the</w:t>
      </w:r>
      <w:r>
        <w:rPr>
          <w:color w:val="231F20"/>
          <w:spacing w:val="-22"/>
        </w:rPr>
        <w:t> </w:t>
      </w:r>
      <w:r>
        <w:rPr>
          <w:color w:val="231F20"/>
        </w:rPr>
        <w:t>First</w:t>
      </w:r>
      <w:r>
        <w:rPr>
          <w:color w:val="231F20"/>
          <w:spacing w:val="-22"/>
        </w:rPr>
        <w:t> </w:t>
      </w:r>
      <w:r>
        <w:rPr>
          <w:color w:val="231F20"/>
        </w:rPr>
        <w:t>District</w:t>
      </w:r>
      <w:r>
        <w:rPr>
          <w:color w:val="231F20"/>
          <w:spacing w:val="-22"/>
        </w:rPr>
        <w:t> </w:t>
      </w:r>
      <w:r>
        <w:rPr>
          <w:color w:val="231F20"/>
        </w:rPr>
        <w:t>disagreed.</w:t>
      </w:r>
      <w:r>
        <w:rPr>
          <w:color w:val="231F20"/>
          <w:position w:val="7"/>
          <w:sz w:val="12"/>
        </w:rPr>
        <w:t>49 </w:t>
      </w:r>
      <w:r>
        <w:rPr>
          <w:color w:val="231F20"/>
        </w:rPr>
        <w:t>While</w:t>
      </w:r>
      <w:r>
        <w:rPr>
          <w:color w:val="231F20"/>
          <w:spacing w:val="-22"/>
        </w:rPr>
        <w:t> </w:t>
      </w:r>
      <w:r>
        <w:rPr>
          <w:color w:val="231F20"/>
        </w:rPr>
        <w:t>acknowledging</w:t>
      </w:r>
      <w:r>
        <w:rPr>
          <w:color w:val="231F20"/>
          <w:spacing w:val="-21"/>
        </w:rPr>
        <w:t> </w:t>
      </w:r>
      <w:r>
        <w:rPr>
          <w:color w:val="231F20"/>
        </w:rPr>
        <w:t>that</w:t>
      </w:r>
      <w:r>
        <w:rPr>
          <w:color w:val="231F20"/>
          <w:spacing w:val="-21"/>
        </w:rPr>
        <w:t> </w:t>
      </w:r>
      <w:r>
        <w:rPr>
          <w:color w:val="231F20"/>
        </w:rPr>
        <w:t>the</w:t>
      </w:r>
      <w:r>
        <w:rPr>
          <w:color w:val="231F20"/>
          <w:spacing w:val="-21"/>
        </w:rPr>
        <w:t> </w:t>
      </w:r>
      <w:r>
        <w:rPr>
          <w:color w:val="231F20"/>
        </w:rPr>
        <w:t>proposal did not comply with the formatting re- quirements of rule 2.516(b)(1)(E), the </w:t>
      </w:r>
      <w:r>
        <w:rPr>
          <w:color w:val="231F20"/>
          <w:spacing w:val="2"/>
        </w:rPr>
        <w:t>First </w:t>
      </w:r>
      <w:r>
        <w:rPr>
          <w:color w:val="231F20"/>
        </w:rPr>
        <w:t>District </w:t>
      </w:r>
      <w:r>
        <w:rPr>
          <w:color w:val="231F20"/>
          <w:spacing w:val="2"/>
        </w:rPr>
        <w:t>concluded they </w:t>
      </w:r>
      <w:r>
        <w:rPr>
          <w:color w:val="231F20"/>
        </w:rPr>
        <w:t>did </w:t>
      </w:r>
      <w:r>
        <w:rPr>
          <w:color w:val="231F20"/>
          <w:spacing w:val="2"/>
        </w:rPr>
        <w:t>not </w:t>
      </w:r>
      <w:r>
        <w:rPr>
          <w:color w:val="231F20"/>
        </w:rPr>
        <w:t>apply because rule 2.516 was not</w:t>
      </w:r>
      <w:r>
        <w:rPr>
          <w:color w:val="231F20"/>
          <w:spacing w:val="-41"/>
        </w:rPr>
        <w:t> </w:t>
      </w:r>
      <w:r>
        <w:rPr>
          <w:color w:val="231F20"/>
        </w:rPr>
        <w:t>trig- gered by the service of a proposal for settlement.</w:t>
      </w:r>
      <w:r>
        <w:rPr>
          <w:color w:val="231F20"/>
          <w:position w:val="7"/>
          <w:sz w:val="12"/>
        </w:rPr>
        <w:t>50 </w:t>
      </w:r>
      <w:r>
        <w:rPr>
          <w:color w:val="231F20"/>
        </w:rPr>
        <w:t>The First District</w:t>
      </w:r>
      <w:r>
        <w:rPr>
          <w:color w:val="231F20"/>
          <w:spacing w:val="-34"/>
        </w:rPr>
        <w:t> </w:t>
      </w:r>
      <w:r>
        <w:rPr>
          <w:color w:val="231F20"/>
        </w:rPr>
        <w:t>adopted the rationale of </w:t>
      </w:r>
      <w:r>
        <w:rPr>
          <w:i/>
          <w:color w:val="231F20"/>
        </w:rPr>
        <w:t>Boatright </w:t>
      </w:r>
      <w:r>
        <w:rPr>
          <w:color w:val="231F20"/>
        </w:rPr>
        <w:t>and </w:t>
      </w:r>
      <w:r>
        <w:rPr>
          <w:i/>
          <w:color w:val="231F20"/>
        </w:rPr>
        <w:t>McCoy</w:t>
      </w:r>
      <w:r>
        <w:rPr>
          <w:color w:val="231F20"/>
        </w:rPr>
        <w:t>, agreeing</w:t>
      </w:r>
      <w:r>
        <w:rPr>
          <w:color w:val="231F20"/>
          <w:spacing w:val="-26"/>
        </w:rPr>
        <w:t> </w:t>
      </w:r>
      <w:r>
        <w:rPr>
          <w:color w:val="231F20"/>
        </w:rPr>
        <w:t>that</w:t>
      </w:r>
      <w:r>
        <w:rPr>
          <w:color w:val="231F20"/>
          <w:spacing w:val="-25"/>
        </w:rPr>
        <w:t> </w:t>
      </w:r>
      <w:r>
        <w:rPr>
          <w:color w:val="231F20"/>
        </w:rPr>
        <w:t>pursuant</w:t>
      </w:r>
      <w:r>
        <w:rPr>
          <w:color w:val="231F20"/>
          <w:spacing w:val="-25"/>
        </w:rPr>
        <w:t> </w:t>
      </w:r>
      <w:r>
        <w:rPr>
          <w:color w:val="231F20"/>
        </w:rPr>
        <w:t>to</w:t>
      </w:r>
      <w:r>
        <w:rPr>
          <w:color w:val="231F20"/>
          <w:spacing w:val="-25"/>
        </w:rPr>
        <w:t> </w:t>
      </w:r>
      <w:r>
        <w:rPr>
          <w:color w:val="231F20"/>
        </w:rPr>
        <w:t>rule</w:t>
      </w:r>
      <w:r>
        <w:rPr>
          <w:color w:val="231F20"/>
          <w:spacing w:val="-25"/>
        </w:rPr>
        <w:t> </w:t>
      </w:r>
      <w:r>
        <w:rPr>
          <w:color w:val="231F20"/>
        </w:rPr>
        <w:t>2.516(a), “since the proposal for settlement is not to be filed when it is served, the proposal is not included in the clause ‘every</w:t>
      </w:r>
      <w:r>
        <w:rPr>
          <w:color w:val="231F20"/>
          <w:spacing w:val="-26"/>
        </w:rPr>
        <w:t> </w:t>
      </w:r>
      <w:r>
        <w:rPr>
          <w:color w:val="231F20"/>
        </w:rPr>
        <w:t>other</w:t>
      </w:r>
      <w:r>
        <w:rPr>
          <w:color w:val="231F20"/>
          <w:spacing w:val="-25"/>
        </w:rPr>
        <w:t> </w:t>
      </w:r>
      <w:r>
        <w:rPr>
          <w:color w:val="231F20"/>
        </w:rPr>
        <w:t>document</w:t>
      </w:r>
      <w:r>
        <w:rPr>
          <w:color w:val="231F20"/>
          <w:spacing w:val="-25"/>
        </w:rPr>
        <w:t> </w:t>
      </w:r>
      <w:r>
        <w:rPr>
          <w:color w:val="231F20"/>
        </w:rPr>
        <w:t>filed</w:t>
      </w:r>
      <w:r>
        <w:rPr>
          <w:color w:val="231F20"/>
          <w:spacing w:val="-25"/>
        </w:rPr>
        <w:t> </w:t>
      </w:r>
      <w:r>
        <w:rPr>
          <w:color w:val="231F20"/>
        </w:rPr>
        <w:t>in</w:t>
      </w:r>
      <w:r>
        <w:rPr>
          <w:color w:val="231F20"/>
          <w:spacing w:val="-25"/>
        </w:rPr>
        <w:t> </w:t>
      </w:r>
      <w:r>
        <w:rPr>
          <w:color w:val="231F20"/>
        </w:rPr>
        <w:t>any</w:t>
      </w:r>
      <w:r>
        <w:rPr>
          <w:color w:val="231F20"/>
          <w:spacing w:val="-25"/>
        </w:rPr>
        <w:t> </w:t>
      </w:r>
      <w:r>
        <w:rPr>
          <w:color w:val="231F20"/>
        </w:rPr>
        <w:t>court proceeding.</w:t>
      </w:r>
      <w:r>
        <w:rPr>
          <w:i/>
          <w:color w:val="231F20"/>
        </w:rPr>
        <w:t>’”</w:t>
      </w:r>
      <w:r>
        <w:rPr>
          <w:color w:val="231F20"/>
          <w:position w:val="7"/>
          <w:sz w:val="12"/>
        </w:rPr>
        <w:t>51</w:t>
      </w:r>
    </w:p>
    <w:p>
      <w:pPr>
        <w:pStyle w:val="BodyText"/>
        <w:spacing w:before="6"/>
        <w:rPr>
          <w:sz w:val="21"/>
        </w:rPr>
      </w:pPr>
    </w:p>
    <w:p>
      <w:pPr>
        <w:spacing w:before="0"/>
        <w:ind w:left="120" w:right="0" w:firstLine="0"/>
        <w:jc w:val="both"/>
        <w:rPr>
          <w:b/>
          <w:sz w:val="24"/>
        </w:rPr>
      </w:pPr>
      <w:r>
        <w:rPr>
          <w:b/>
          <w:color w:val="231F20"/>
          <w:sz w:val="24"/>
        </w:rPr>
        <w:t>Statutory Interpretation</w:t>
      </w:r>
    </w:p>
    <w:p>
      <w:pPr>
        <w:pStyle w:val="BodyText"/>
        <w:spacing w:before="64"/>
        <w:ind w:left="300"/>
      </w:pPr>
      <w:r>
        <w:rPr>
          <w:color w:val="231F20"/>
          <w:spacing w:val="-3"/>
        </w:rPr>
        <w:t>After</w:t>
      </w:r>
      <w:r>
        <w:rPr>
          <w:color w:val="231F20"/>
          <w:spacing w:val="-21"/>
        </w:rPr>
        <w:t> </w:t>
      </w:r>
      <w:r>
        <w:rPr>
          <w:color w:val="231F20"/>
          <w:spacing w:val="-3"/>
        </w:rPr>
        <w:t>reviewing</w:t>
      </w:r>
      <w:r>
        <w:rPr>
          <w:color w:val="231F20"/>
          <w:spacing w:val="-21"/>
        </w:rPr>
        <w:t> </w:t>
      </w:r>
      <w:r>
        <w:rPr>
          <w:color w:val="231F20"/>
        </w:rPr>
        <w:t>the</w:t>
      </w:r>
      <w:r>
        <w:rPr>
          <w:color w:val="231F20"/>
          <w:spacing w:val="-20"/>
        </w:rPr>
        <w:t> </w:t>
      </w:r>
      <w:r>
        <w:rPr>
          <w:color w:val="231F20"/>
          <w:spacing w:val="-3"/>
        </w:rPr>
        <w:t>facts</w:t>
      </w:r>
      <w:r>
        <w:rPr>
          <w:color w:val="231F20"/>
          <w:spacing w:val="-21"/>
        </w:rPr>
        <w:t> </w:t>
      </w:r>
      <w:r>
        <w:rPr>
          <w:color w:val="231F20"/>
        </w:rPr>
        <w:t>of</w:t>
      </w:r>
      <w:r>
        <w:rPr>
          <w:color w:val="231F20"/>
          <w:spacing w:val="-20"/>
        </w:rPr>
        <w:t> </w:t>
      </w:r>
      <w:r>
        <w:rPr>
          <w:color w:val="231F20"/>
        </w:rPr>
        <w:t>the</w:t>
      </w:r>
      <w:r>
        <w:rPr>
          <w:color w:val="231F20"/>
          <w:spacing w:val="-21"/>
        </w:rPr>
        <w:t> </w:t>
      </w:r>
      <w:r>
        <w:rPr>
          <w:color w:val="231F20"/>
          <w:spacing w:val="-3"/>
        </w:rPr>
        <w:t>conflict</w:t>
      </w:r>
    </w:p>
    <w:p>
      <w:pPr>
        <w:pStyle w:val="BodyText"/>
        <w:spacing w:line="254" w:lineRule="auto" w:before="78"/>
        <w:ind w:left="119" w:right="38"/>
        <w:jc w:val="both"/>
        <w:rPr>
          <w:sz w:val="12"/>
        </w:rPr>
      </w:pPr>
      <w:r>
        <w:rPr/>
        <w:br w:type="column"/>
      </w:r>
      <w:r>
        <w:rPr>
          <w:color w:val="231F20"/>
        </w:rPr>
        <w:t>cases, the Florida Supreme Court</w:t>
      </w:r>
      <w:r>
        <w:rPr>
          <w:color w:val="231F20"/>
          <w:spacing w:val="-39"/>
        </w:rPr>
        <w:t> </w:t>
      </w:r>
      <w:r>
        <w:rPr>
          <w:color w:val="231F20"/>
        </w:rPr>
        <w:t>not- ed that rule 1.442 and section 768.79 are</w:t>
      </w:r>
      <w:r>
        <w:rPr>
          <w:color w:val="231F20"/>
          <w:spacing w:val="-21"/>
        </w:rPr>
        <w:t> </w:t>
      </w:r>
      <w:r>
        <w:rPr>
          <w:color w:val="231F20"/>
        </w:rPr>
        <w:t>to</w:t>
      </w:r>
      <w:r>
        <w:rPr>
          <w:color w:val="231F20"/>
          <w:spacing w:val="-21"/>
        </w:rPr>
        <w:t> </w:t>
      </w:r>
      <w:r>
        <w:rPr>
          <w:color w:val="231F20"/>
        </w:rPr>
        <w:t>be</w:t>
      </w:r>
      <w:r>
        <w:rPr>
          <w:color w:val="231F20"/>
          <w:spacing w:val="-20"/>
        </w:rPr>
        <w:t> </w:t>
      </w:r>
      <w:r>
        <w:rPr>
          <w:color w:val="231F20"/>
        </w:rPr>
        <w:t>strictly</w:t>
      </w:r>
      <w:r>
        <w:rPr>
          <w:color w:val="231F20"/>
          <w:spacing w:val="-21"/>
        </w:rPr>
        <w:t> </w:t>
      </w:r>
      <w:r>
        <w:rPr>
          <w:color w:val="231F20"/>
        </w:rPr>
        <w:t>construed.</w:t>
      </w:r>
      <w:r>
        <w:rPr>
          <w:color w:val="231F20"/>
          <w:position w:val="7"/>
          <w:sz w:val="12"/>
        </w:rPr>
        <w:t>52</w:t>
      </w:r>
      <w:r>
        <w:rPr>
          <w:color w:val="231F20"/>
          <w:spacing w:val="-1"/>
          <w:position w:val="7"/>
          <w:sz w:val="12"/>
        </w:rPr>
        <w:t> </w:t>
      </w:r>
      <w:r>
        <w:rPr>
          <w:color w:val="231F20"/>
        </w:rPr>
        <w:t>The</w:t>
      </w:r>
      <w:r>
        <w:rPr>
          <w:color w:val="231F20"/>
          <w:spacing w:val="-21"/>
        </w:rPr>
        <w:t> </w:t>
      </w:r>
      <w:r>
        <w:rPr>
          <w:color w:val="231F20"/>
        </w:rPr>
        <w:t>Court reiterated</w:t>
      </w:r>
      <w:r>
        <w:rPr>
          <w:color w:val="231F20"/>
          <w:spacing w:val="-36"/>
        </w:rPr>
        <w:t> </w:t>
      </w:r>
      <w:r>
        <w:rPr>
          <w:color w:val="231F20"/>
        </w:rPr>
        <w:t>the</w:t>
      </w:r>
      <w:r>
        <w:rPr>
          <w:color w:val="231F20"/>
          <w:spacing w:val="-35"/>
        </w:rPr>
        <w:t> </w:t>
      </w:r>
      <w:r>
        <w:rPr>
          <w:color w:val="231F20"/>
        </w:rPr>
        <w:t>well-established</w:t>
      </w:r>
      <w:r>
        <w:rPr>
          <w:color w:val="231F20"/>
          <w:spacing w:val="-35"/>
        </w:rPr>
        <w:t> </w:t>
      </w:r>
      <w:r>
        <w:rPr>
          <w:color w:val="231F20"/>
        </w:rPr>
        <w:t>principle that when the language of a statute  </w:t>
      </w:r>
      <w:r>
        <w:rPr>
          <w:color w:val="231F20"/>
          <w:spacing w:val="2"/>
        </w:rPr>
        <w:t>is </w:t>
      </w:r>
      <w:r>
        <w:rPr>
          <w:color w:val="231F20"/>
          <w:spacing w:val="4"/>
        </w:rPr>
        <w:t>clear </w:t>
      </w:r>
      <w:r>
        <w:rPr>
          <w:color w:val="231F20"/>
          <w:spacing w:val="3"/>
        </w:rPr>
        <w:t>and </w:t>
      </w:r>
      <w:r>
        <w:rPr>
          <w:color w:val="231F20"/>
          <w:spacing w:val="4"/>
        </w:rPr>
        <w:t>unambiguous, there </w:t>
      </w:r>
      <w:r>
        <w:rPr>
          <w:color w:val="231F20"/>
          <w:spacing w:val="5"/>
        </w:rPr>
        <w:t>is </w:t>
      </w:r>
      <w:r>
        <w:rPr>
          <w:color w:val="231F20"/>
        </w:rPr>
        <w:t>no need for statutory interpretation.</w:t>
      </w:r>
      <w:r>
        <w:rPr>
          <w:color w:val="231F20"/>
          <w:position w:val="7"/>
          <w:sz w:val="12"/>
        </w:rPr>
        <w:t>53 </w:t>
      </w:r>
      <w:r>
        <w:rPr>
          <w:color w:val="231F20"/>
        </w:rPr>
        <w:t>Where</w:t>
      </w:r>
      <w:r>
        <w:rPr>
          <w:color w:val="231F20"/>
          <w:spacing w:val="-17"/>
        </w:rPr>
        <w:t> </w:t>
      </w:r>
      <w:r>
        <w:rPr>
          <w:color w:val="231F20"/>
        </w:rPr>
        <w:t>the</w:t>
      </w:r>
      <w:r>
        <w:rPr>
          <w:color w:val="231F20"/>
          <w:spacing w:val="-16"/>
        </w:rPr>
        <w:t> </w:t>
      </w:r>
      <w:r>
        <w:rPr>
          <w:color w:val="231F20"/>
        </w:rPr>
        <w:t>language</w:t>
      </w:r>
      <w:r>
        <w:rPr>
          <w:color w:val="231F20"/>
          <w:spacing w:val="-16"/>
        </w:rPr>
        <w:t> </w:t>
      </w:r>
      <w:r>
        <w:rPr>
          <w:color w:val="231F20"/>
        </w:rPr>
        <w:t>is</w:t>
      </w:r>
      <w:r>
        <w:rPr>
          <w:color w:val="231F20"/>
          <w:spacing w:val="-16"/>
        </w:rPr>
        <w:t> </w:t>
      </w:r>
      <w:r>
        <w:rPr>
          <w:color w:val="231F20"/>
        </w:rPr>
        <w:t>ambiguous</w:t>
      </w:r>
      <w:r>
        <w:rPr>
          <w:color w:val="231F20"/>
          <w:spacing w:val="-16"/>
        </w:rPr>
        <w:t> </w:t>
      </w:r>
      <w:r>
        <w:rPr>
          <w:color w:val="231F20"/>
        </w:rPr>
        <w:t>and subject to different interpretations, on the other hand, statutory construction should be applied to resolve the am- </w:t>
      </w:r>
      <w:r>
        <w:rPr>
          <w:color w:val="231F20"/>
          <w:spacing w:val="-3"/>
        </w:rPr>
        <w:t>biguity.</w:t>
      </w:r>
      <w:r>
        <w:rPr>
          <w:color w:val="231F20"/>
          <w:spacing w:val="-3"/>
          <w:position w:val="7"/>
          <w:sz w:val="12"/>
        </w:rPr>
        <w:t>54 </w:t>
      </w:r>
      <w:r>
        <w:rPr>
          <w:color w:val="231F20"/>
        </w:rPr>
        <w:t>Based on the plain language of section 768.79 and rule 1.442, the Court concluded: “[N]either require[s] service by</w:t>
      </w:r>
      <w:r>
        <w:rPr>
          <w:color w:val="231F20"/>
          <w:spacing w:val="-2"/>
        </w:rPr>
        <w:t> </w:t>
      </w:r>
      <w:r>
        <w:rPr>
          <w:color w:val="231F20"/>
        </w:rPr>
        <w:t>e-mail.”</w:t>
      </w:r>
      <w:r>
        <w:rPr>
          <w:color w:val="231F20"/>
          <w:position w:val="7"/>
          <w:sz w:val="12"/>
        </w:rPr>
        <w:t>55</w:t>
      </w:r>
    </w:p>
    <w:p>
      <w:pPr>
        <w:pStyle w:val="BodyText"/>
        <w:spacing w:line="254" w:lineRule="auto"/>
        <w:ind w:left="119" w:right="43" w:firstLine="180"/>
        <w:jc w:val="both"/>
      </w:pPr>
      <w:r>
        <w:rPr>
          <w:color w:val="231F20"/>
        </w:rPr>
        <w:t>The Court went on to say that the procedure for communicating an offer of</w:t>
      </w:r>
      <w:r>
        <w:rPr>
          <w:color w:val="231F20"/>
          <w:spacing w:val="-18"/>
        </w:rPr>
        <w:t> </w:t>
      </w:r>
      <w:r>
        <w:rPr>
          <w:color w:val="231F20"/>
          <w:spacing w:val="-3"/>
        </w:rPr>
        <w:t>settlement</w:t>
      </w:r>
      <w:r>
        <w:rPr>
          <w:color w:val="231F20"/>
          <w:spacing w:val="-17"/>
        </w:rPr>
        <w:t> </w:t>
      </w:r>
      <w:r>
        <w:rPr>
          <w:color w:val="231F20"/>
          <w:spacing w:val="-3"/>
        </w:rPr>
        <w:t>under</w:t>
      </w:r>
      <w:r>
        <w:rPr>
          <w:color w:val="231F20"/>
          <w:spacing w:val="-18"/>
        </w:rPr>
        <w:t> </w:t>
      </w:r>
      <w:r>
        <w:rPr>
          <w:color w:val="231F20"/>
          <w:spacing w:val="-3"/>
        </w:rPr>
        <w:t>section</w:t>
      </w:r>
      <w:r>
        <w:rPr>
          <w:color w:val="231F20"/>
          <w:spacing w:val="-17"/>
        </w:rPr>
        <w:t> </w:t>
      </w:r>
      <w:r>
        <w:rPr>
          <w:color w:val="231F20"/>
          <w:spacing w:val="-3"/>
        </w:rPr>
        <w:t>768.79(3)</w:t>
      </w:r>
      <w:r>
        <w:rPr>
          <w:color w:val="231F20"/>
          <w:spacing w:val="-18"/>
        </w:rPr>
        <w:t> </w:t>
      </w:r>
      <w:r>
        <w:rPr>
          <w:color w:val="231F20"/>
          <w:spacing w:val="-3"/>
        </w:rPr>
        <w:t>is </w:t>
      </w:r>
      <w:r>
        <w:rPr>
          <w:color w:val="231F20"/>
        </w:rPr>
        <w:t>for</w:t>
      </w:r>
      <w:r>
        <w:rPr>
          <w:color w:val="231F20"/>
          <w:spacing w:val="-21"/>
        </w:rPr>
        <w:t> </w:t>
      </w:r>
      <w:r>
        <w:rPr>
          <w:color w:val="231F20"/>
        </w:rPr>
        <w:t>the</w:t>
      </w:r>
      <w:r>
        <w:rPr>
          <w:color w:val="231F20"/>
          <w:spacing w:val="-21"/>
        </w:rPr>
        <w:t> </w:t>
      </w:r>
      <w:r>
        <w:rPr>
          <w:color w:val="231F20"/>
          <w:spacing w:val="-4"/>
        </w:rPr>
        <w:t>offer</w:t>
      </w:r>
      <w:r>
        <w:rPr>
          <w:color w:val="231F20"/>
          <w:spacing w:val="-21"/>
        </w:rPr>
        <w:t> </w:t>
      </w:r>
      <w:r>
        <w:rPr>
          <w:color w:val="231F20"/>
        </w:rPr>
        <w:t>to</w:t>
      </w:r>
      <w:r>
        <w:rPr>
          <w:color w:val="231F20"/>
          <w:spacing w:val="-21"/>
        </w:rPr>
        <w:t> </w:t>
      </w:r>
      <w:r>
        <w:rPr>
          <w:color w:val="231F20"/>
        </w:rPr>
        <w:t>“</w:t>
      </w:r>
      <w:r>
        <w:rPr>
          <w:i/>
          <w:color w:val="231F20"/>
        </w:rPr>
        <w:t>be</w:t>
      </w:r>
      <w:r>
        <w:rPr>
          <w:i/>
          <w:color w:val="231F20"/>
          <w:spacing w:val="-22"/>
        </w:rPr>
        <w:t> </w:t>
      </w:r>
      <w:r>
        <w:rPr>
          <w:i/>
          <w:color w:val="231F20"/>
          <w:spacing w:val="-3"/>
        </w:rPr>
        <w:t>served</w:t>
      </w:r>
      <w:r>
        <w:rPr>
          <w:i/>
          <w:color w:val="231F20"/>
          <w:spacing w:val="-21"/>
        </w:rPr>
        <w:t> </w:t>
      </w:r>
      <w:r>
        <w:rPr>
          <w:i/>
          <w:color w:val="231F20"/>
          <w:spacing w:val="-3"/>
        </w:rPr>
        <w:t>upon</w:t>
      </w:r>
      <w:r>
        <w:rPr>
          <w:i/>
          <w:color w:val="231F20"/>
          <w:spacing w:val="-22"/>
        </w:rPr>
        <w:t> </w:t>
      </w:r>
      <w:r>
        <w:rPr>
          <w:i/>
          <w:color w:val="231F20"/>
        </w:rPr>
        <w:t>the</w:t>
      </w:r>
      <w:r>
        <w:rPr>
          <w:i/>
          <w:color w:val="231F20"/>
          <w:spacing w:val="-21"/>
        </w:rPr>
        <w:t> </w:t>
      </w:r>
      <w:r>
        <w:rPr>
          <w:i/>
          <w:color w:val="231F20"/>
          <w:spacing w:val="-3"/>
        </w:rPr>
        <w:t>party </w:t>
      </w:r>
      <w:r>
        <w:rPr>
          <w:i/>
          <w:color w:val="231F20"/>
        </w:rPr>
        <w:t>to</w:t>
      </w:r>
      <w:r>
        <w:rPr>
          <w:i/>
          <w:color w:val="231F20"/>
          <w:spacing w:val="-10"/>
        </w:rPr>
        <w:t> </w:t>
      </w:r>
      <w:r>
        <w:rPr>
          <w:i/>
          <w:color w:val="231F20"/>
        </w:rPr>
        <w:t>whom</w:t>
      </w:r>
      <w:r>
        <w:rPr>
          <w:i/>
          <w:color w:val="231F20"/>
          <w:spacing w:val="-10"/>
        </w:rPr>
        <w:t> </w:t>
      </w:r>
      <w:r>
        <w:rPr>
          <w:i/>
          <w:color w:val="231F20"/>
        </w:rPr>
        <w:t>it</w:t>
      </w:r>
      <w:r>
        <w:rPr>
          <w:i/>
          <w:color w:val="231F20"/>
          <w:spacing w:val="-11"/>
        </w:rPr>
        <w:t> </w:t>
      </w:r>
      <w:r>
        <w:rPr>
          <w:i/>
          <w:color w:val="231F20"/>
        </w:rPr>
        <w:t>is</w:t>
      </w:r>
      <w:r>
        <w:rPr>
          <w:i/>
          <w:color w:val="231F20"/>
          <w:spacing w:val="-10"/>
        </w:rPr>
        <w:t> </w:t>
      </w:r>
      <w:r>
        <w:rPr>
          <w:i/>
          <w:color w:val="231F20"/>
        </w:rPr>
        <w:t>made,</w:t>
      </w:r>
      <w:r>
        <w:rPr>
          <w:i/>
          <w:color w:val="231F20"/>
          <w:spacing w:val="-10"/>
        </w:rPr>
        <w:t> </w:t>
      </w:r>
      <w:r>
        <w:rPr>
          <w:i/>
          <w:color w:val="231F20"/>
        </w:rPr>
        <w:t>but</w:t>
      </w:r>
      <w:r>
        <w:rPr>
          <w:i/>
          <w:color w:val="231F20"/>
          <w:spacing w:val="-10"/>
        </w:rPr>
        <w:t> </w:t>
      </w:r>
      <w:r>
        <w:rPr>
          <w:i/>
          <w:color w:val="231F20"/>
        </w:rPr>
        <w:t>[the</w:t>
      </w:r>
      <w:r>
        <w:rPr>
          <w:i/>
          <w:color w:val="231F20"/>
          <w:spacing w:val="-9"/>
        </w:rPr>
        <w:t> </w:t>
      </w:r>
      <w:r>
        <w:rPr>
          <w:i/>
          <w:color w:val="231F20"/>
        </w:rPr>
        <w:t>offer]</w:t>
      </w:r>
      <w:r>
        <w:rPr>
          <w:i/>
          <w:color w:val="231F20"/>
          <w:spacing w:val="-11"/>
        </w:rPr>
        <w:t> </w:t>
      </w:r>
      <w:r>
        <w:rPr>
          <w:i/>
          <w:color w:val="231F20"/>
        </w:rPr>
        <w:t>shall not</w:t>
      </w:r>
      <w:r>
        <w:rPr>
          <w:i/>
          <w:color w:val="231F20"/>
          <w:spacing w:val="-26"/>
        </w:rPr>
        <w:t> </w:t>
      </w:r>
      <w:r>
        <w:rPr>
          <w:i/>
          <w:color w:val="231F20"/>
        </w:rPr>
        <w:t>be</w:t>
      </w:r>
      <w:r>
        <w:rPr>
          <w:i/>
          <w:color w:val="231F20"/>
          <w:spacing w:val="-25"/>
        </w:rPr>
        <w:t> </w:t>
      </w:r>
      <w:r>
        <w:rPr>
          <w:i/>
          <w:color w:val="231F20"/>
        </w:rPr>
        <w:t>filed.</w:t>
      </w:r>
      <w:r>
        <w:rPr>
          <w:color w:val="231F20"/>
        </w:rPr>
        <w:t>”</w:t>
      </w:r>
      <w:r>
        <w:rPr>
          <w:color w:val="231F20"/>
          <w:position w:val="7"/>
          <w:sz w:val="12"/>
        </w:rPr>
        <w:t>56</w:t>
      </w:r>
      <w:r>
        <w:rPr>
          <w:color w:val="231F20"/>
          <w:spacing w:val="-6"/>
          <w:position w:val="7"/>
          <w:sz w:val="12"/>
        </w:rPr>
        <w:t> </w:t>
      </w:r>
      <w:r>
        <w:rPr>
          <w:color w:val="231F20"/>
        </w:rPr>
        <w:t>The</w:t>
      </w:r>
      <w:r>
        <w:rPr>
          <w:color w:val="231F20"/>
          <w:spacing w:val="-25"/>
        </w:rPr>
        <w:t> </w:t>
      </w:r>
      <w:r>
        <w:rPr>
          <w:color w:val="231F20"/>
        </w:rPr>
        <w:t>statute</w:t>
      </w:r>
      <w:r>
        <w:rPr>
          <w:color w:val="231F20"/>
          <w:spacing w:val="-26"/>
        </w:rPr>
        <w:t> </w:t>
      </w:r>
      <w:r>
        <w:rPr>
          <w:color w:val="231F20"/>
        </w:rPr>
        <w:t>requires</w:t>
      </w:r>
      <w:r>
        <w:rPr>
          <w:color w:val="231F20"/>
          <w:spacing w:val="-25"/>
        </w:rPr>
        <w:t> </w:t>
      </w:r>
      <w:r>
        <w:rPr>
          <w:color w:val="231F20"/>
        </w:rPr>
        <w:t>only that the offer be served and not filed; it does not require service by e-mail.</w:t>
      </w:r>
      <w:r>
        <w:rPr>
          <w:color w:val="231F20"/>
          <w:position w:val="7"/>
          <w:sz w:val="12"/>
        </w:rPr>
        <w:t>57 </w:t>
      </w:r>
      <w:r>
        <w:rPr>
          <w:color w:val="231F20"/>
          <w:spacing w:val="2"/>
        </w:rPr>
        <w:t>Subdivision </w:t>
      </w:r>
      <w:r>
        <w:rPr>
          <w:color w:val="231F20"/>
        </w:rPr>
        <w:t>(d) of </w:t>
      </w:r>
      <w:r>
        <w:rPr>
          <w:color w:val="231F20"/>
          <w:spacing w:val="2"/>
        </w:rPr>
        <w:t>rule 1.442, </w:t>
      </w:r>
      <w:r>
        <w:rPr>
          <w:color w:val="231F20"/>
        </w:rPr>
        <w:t>which discusses</w:t>
      </w:r>
      <w:r>
        <w:rPr>
          <w:color w:val="231F20"/>
          <w:spacing w:val="-12"/>
        </w:rPr>
        <w:t> </w:t>
      </w:r>
      <w:r>
        <w:rPr>
          <w:color w:val="231F20"/>
        </w:rPr>
        <w:t>the</w:t>
      </w:r>
      <w:r>
        <w:rPr>
          <w:color w:val="231F20"/>
          <w:spacing w:val="-12"/>
        </w:rPr>
        <w:t> </w:t>
      </w:r>
      <w:r>
        <w:rPr>
          <w:color w:val="231F20"/>
        </w:rPr>
        <w:t>procedure</w:t>
      </w:r>
      <w:r>
        <w:rPr>
          <w:color w:val="231F20"/>
          <w:spacing w:val="-11"/>
        </w:rPr>
        <w:t> </w:t>
      </w:r>
      <w:r>
        <w:rPr>
          <w:color w:val="231F20"/>
        </w:rPr>
        <w:t>for</w:t>
      </w:r>
      <w:r>
        <w:rPr>
          <w:color w:val="231F20"/>
          <w:spacing w:val="-12"/>
        </w:rPr>
        <w:t> </w:t>
      </w:r>
      <w:r>
        <w:rPr>
          <w:color w:val="231F20"/>
        </w:rPr>
        <w:t>communi- cating a proposal, also states that “[a] proposal shall be served . . . but shall not be filed.”</w:t>
      </w:r>
      <w:r>
        <w:rPr>
          <w:color w:val="231F20"/>
          <w:position w:val="7"/>
          <w:sz w:val="12"/>
        </w:rPr>
        <w:t>58 </w:t>
      </w:r>
      <w:r>
        <w:rPr>
          <w:color w:val="231F20"/>
        </w:rPr>
        <w:t>The rule likewise does not require service by</w:t>
      </w:r>
      <w:r>
        <w:rPr>
          <w:color w:val="231F20"/>
          <w:spacing w:val="-5"/>
        </w:rPr>
        <w:t> </w:t>
      </w:r>
      <w:r>
        <w:rPr>
          <w:color w:val="231F20"/>
        </w:rPr>
        <w:t>e-mail.</w:t>
      </w:r>
    </w:p>
    <w:p>
      <w:pPr>
        <w:pStyle w:val="BodyText"/>
        <w:spacing w:line="254" w:lineRule="auto" w:before="1"/>
        <w:ind w:left="119" w:right="40" w:firstLine="180"/>
        <w:jc w:val="both"/>
        <w:rPr>
          <w:sz w:val="12"/>
        </w:rPr>
      </w:pPr>
      <w:r>
        <w:rPr>
          <w:color w:val="231F20"/>
        </w:rPr>
        <w:t>The Court noted that rule 1.442 re- </w:t>
      </w:r>
      <w:r>
        <w:rPr>
          <w:color w:val="231F20"/>
          <w:spacing w:val="-3"/>
        </w:rPr>
        <w:t>quires</w:t>
      </w:r>
      <w:r>
        <w:rPr>
          <w:color w:val="231F20"/>
          <w:spacing w:val="-18"/>
        </w:rPr>
        <w:t> </w:t>
      </w:r>
      <w:r>
        <w:rPr>
          <w:color w:val="231F20"/>
          <w:spacing w:val="-3"/>
        </w:rPr>
        <w:t>that</w:t>
      </w:r>
      <w:r>
        <w:rPr>
          <w:color w:val="231F20"/>
          <w:spacing w:val="-18"/>
        </w:rPr>
        <w:t> </w:t>
      </w:r>
      <w:r>
        <w:rPr>
          <w:color w:val="231F20"/>
        </w:rPr>
        <w:t>a</w:t>
      </w:r>
      <w:r>
        <w:rPr>
          <w:color w:val="231F20"/>
          <w:spacing w:val="-18"/>
        </w:rPr>
        <w:t> </w:t>
      </w:r>
      <w:r>
        <w:rPr>
          <w:color w:val="231F20"/>
          <w:spacing w:val="-3"/>
        </w:rPr>
        <w:t>proposal</w:t>
      </w:r>
      <w:r>
        <w:rPr>
          <w:color w:val="231F20"/>
          <w:spacing w:val="-17"/>
        </w:rPr>
        <w:t> </w:t>
      </w:r>
      <w:r>
        <w:rPr>
          <w:color w:val="231F20"/>
        </w:rPr>
        <w:t>for</w:t>
      </w:r>
      <w:r>
        <w:rPr>
          <w:color w:val="231F20"/>
          <w:spacing w:val="-18"/>
        </w:rPr>
        <w:t> </w:t>
      </w:r>
      <w:r>
        <w:rPr>
          <w:color w:val="231F20"/>
          <w:spacing w:val="-3"/>
        </w:rPr>
        <w:t>settlement</w:t>
      </w:r>
      <w:r>
        <w:rPr>
          <w:color w:val="231F20"/>
          <w:spacing w:val="-18"/>
        </w:rPr>
        <w:t> </w:t>
      </w:r>
      <w:r>
        <w:rPr>
          <w:color w:val="231F20"/>
          <w:spacing w:val="-3"/>
        </w:rPr>
        <w:t>“in- </w:t>
      </w:r>
      <w:r>
        <w:rPr>
          <w:color w:val="231F20"/>
        </w:rPr>
        <w:t>clude</w:t>
      </w:r>
      <w:r>
        <w:rPr>
          <w:color w:val="231F20"/>
          <w:spacing w:val="-19"/>
        </w:rPr>
        <w:t> </w:t>
      </w:r>
      <w:r>
        <w:rPr>
          <w:color w:val="231F20"/>
        </w:rPr>
        <w:t>a</w:t>
      </w:r>
      <w:r>
        <w:rPr>
          <w:color w:val="231F20"/>
          <w:spacing w:val="-19"/>
        </w:rPr>
        <w:t> </w:t>
      </w:r>
      <w:r>
        <w:rPr>
          <w:color w:val="231F20"/>
        </w:rPr>
        <w:t>certificate</w:t>
      </w:r>
      <w:r>
        <w:rPr>
          <w:color w:val="231F20"/>
          <w:spacing w:val="-18"/>
        </w:rPr>
        <w:t> </w:t>
      </w:r>
      <w:r>
        <w:rPr>
          <w:color w:val="231F20"/>
        </w:rPr>
        <w:t>of</w:t>
      </w:r>
      <w:r>
        <w:rPr>
          <w:color w:val="231F20"/>
          <w:spacing w:val="-19"/>
        </w:rPr>
        <w:t> </w:t>
      </w:r>
      <w:r>
        <w:rPr>
          <w:color w:val="231F20"/>
        </w:rPr>
        <w:t>service</w:t>
      </w:r>
      <w:r>
        <w:rPr>
          <w:color w:val="231F20"/>
          <w:spacing w:val="-18"/>
        </w:rPr>
        <w:t> </w:t>
      </w:r>
      <w:r>
        <w:rPr>
          <w:color w:val="231F20"/>
        </w:rPr>
        <w:t>in</w:t>
      </w:r>
      <w:r>
        <w:rPr>
          <w:color w:val="231F20"/>
          <w:spacing w:val="-19"/>
        </w:rPr>
        <w:t> </w:t>
      </w:r>
      <w:r>
        <w:rPr>
          <w:color w:val="231F20"/>
        </w:rPr>
        <w:t>the</w:t>
      </w:r>
      <w:r>
        <w:rPr>
          <w:color w:val="231F20"/>
          <w:spacing w:val="-19"/>
        </w:rPr>
        <w:t> </w:t>
      </w:r>
      <w:r>
        <w:rPr>
          <w:color w:val="231F20"/>
        </w:rPr>
        <w:t>form required</w:t>
      </w:r>
      <w:r>
        <w:rPr>
          <w:color w:val="231F20"/>
          <w:spacing w:val="-14"/>
        </w:rPr>
        <w:t> </w:t>
      </w:r>
      <w:r>
        <w:rPr>
          <w:color w:val="231F20"/>
        </w:rPr>
        <w:t>by</w:t>
      </w:r>
      <w:r>
        <w:rPr>
          <w:color w:val="231F20"/>
          <w:spacing w:val="-13"/>
        </w:rPr>
        <w:t> </w:t>
      </w:r>
      <w:r>
        <w:rPr>
          <w:color w:val="231F20"/>
        </w:rPr>
        <w:t>rule</w:t>
      </w:r>
      <w:r>
        <w:rPr>
          <w:color w:val="231F20"/>
          <w:spacing w:val="-14"/>
        </w:rPr>
        <w:t> </w:t>
      </w:r>
      <w:r>
        <w:rPr>
          <w:color w:val="231F20"/>
        </w:rPr>
        <w:t>1.080.”</w:t>
      </w:r>
      <w:r>
        <w:rPr>
          <w:color w:val="231F20"/>
          <w:position w:val="7"/>
          <w:sz w:val="12"/>
        </w:rPr>
        <w:t>59</w:t>
      </w:r>
      <w:r>
        <w:rPr>
          <w:color w:val="231F20"/>
          <w:spacing w:val="9"/>
          <w:position w:val="7"/>
          <w:sz w:val="12"/>
        </w:rPr>
        <w:t> </w:t>
      </w:r>
      <w:r>
        <w:rPr>
          <w:color w:val="231F20"/>
        </w:rPr>
        <w:t>Rule</w:t>
      </w:r>
      <w:r>
        <w:rPr>
          <w:color w:val="231F20"/>
          <w:spacing w:val="-14"/>
        </w:rPr>
        <w:t> </w:t>
      </w:r>
      <w:r>
        <w:rPr>
          <w:color w:val="231F20"/>
        </w:rPr>
        <w:t>1.080</w:t>
      </w:r>
      <w:r>
        <w:rPr>
          <w:color w:val="231F20"/>
          <w:spacing w:val="-13"/>
        </w:rPr>
        <w:t> </w:t>
      </w:r>
      <w:r>
        <w:rPr>
          <w:color w:val="231F20"/>
        </w:rPr>
        <w:t>is silent</w:t>
      </w:r>
      <w:r>
        <w:rPr>
          <w:color w:val="231F20"/>
          <w:spacing w:val="-11"/>
        </w:rPr>
        <w:t> </w:t>
      </w:r>
      <w:r>
        <w:rPr>
          <w:color w:val="231F20"/>
        </w:rPr>
        <w:t>as</w:t>
      </w:r>
      <w:r>
        <w:rPr>
          <w:color w:val="231F20"/>
          <w:spacing w:val="-10"/>
        </w:rPr>
        <w:t> </w:t>
      </w:r>
      <w:r>
        <w:rPr>
          <w:color w:val="231F20"/>
        </w:rPr>
        <w:t>to</w:t>
      </w:r>
      <w:r>
        <w:rPr>
          <w:color w:val="231F20"/>
          <w:spacing w:val="-11"/>
        </w:rPr>
        <w:t> </w:t>
      </w:r>
      <w:r>
        <w:rPr>
          <w:color w:val="231F20"/>
        </w:rPr>
        <w:t>the</w:t>
      </w:r>
      <w:r>
        <w:rPr>
          <w:color w:val="231F20"/>
          <w:spacing w:val="-10"/>
        </w:rPr>
        <w:t> </w:t>
      </w:r>
      <w:r>
        <w:rPr>
          <w:color w:val="231F20"/>
        </w:rPr>
        <w:t>form</w:t>
      </w:r>
      <w:r>
        <w:rPr>
          <w:color w:val="231F20"/>
          <w:spacing w:val="-11"/>
        </w:rPr>
        <w:t> </w:t>
      </w:r>
      <w:r>
        <w:rPr>
          <w:color w:val="231F20"/>
        </w:rPr>
        <w:t>of</w:t>
      </w:r>
      <w:r>
        <w:rPr>
          <w:color w:val="231F20"/>
          <w:spacing w:val="-10"/>
        </w:rPr>
        <w:t> </w:t>
      </w:r>
      <w:r>
        <w:rPr>
          <w:color w:val="231F20"/>
        </w:rPr>
        <w:t>the</w:t>
      </w:r>
      <w:r>
        <w:rPr>
          <w:color w:val="231F20"/>
          <w:spacing w:val="-11"/>
        </w:rPr>
        <w:t> </w:t>
      </w:r>
      <w:r>
        <w:rPr>
          <w:color w:val="231F20"/>
        </w:rPr>
        <w:t>certificate</w:t>
      </w:r>
      <w:r>
        <w:rPr>
          <w:color w:val="231F20"/>
          <w:spacing w:val="-10"/>
        </w:rPr>
        <w:t> </w:t>
      </w:r>
      <w:r>
        <w:rPr>
          <w:color w:val="231F20"/>
        </w:rPr>
        <w:t>of service</w:t>
      </w:r>
      <w:r>
        <w:rPr>
          <w:color w:val="231F20"/>
          <w:spacing w:val="-30"/>
        </w:rPr>
        <w:t> </w:t>
      </w:r>
      <w:r>
        <w:rPr>
          <w:color w:val="231F20"/>
        </w:rPr>
        <w:t>but</w:t>
      </w:r>
      <w:r>
        <w:rPr>
          <w:color w:val="231F20"/>
          <w:spacing w:val="-29"/>
        </w:rPr>
        <w:t> </w:t>
      </w:r>
      <w:r>
        <w:rPr>
          <w:color w:val="231F20"/>
        </w:rPr>
        <w:t>provides</w:t>
      </w:r>
      <w:r>
        <w:rPr>
          <w:color w:val="231F20"/>
          <w:spacing w:val="-29"/>
        </w:rPr>
        <w:t> </w:t>
      </w:r>
      <w:r>
        <w:rPr>
          <w:color w:val="231F20"/>
        </w:rPr>
        <w:t>that</w:t>
      </w:r>
      <w:r>
        <w:rPr>
          <w:color w:val="231F20"/>
          <w:spacing w:val="-29"/>
        </w:rPr>
        <w:t> </w:t>
      </w:r>
      <w:r>
        <w:rPr>
          <w:color w:val="231F20"/>
        </w:rPr>
        <w:t>“</w:t>
      </w:r>
      <w:r>
        <w:rPr>
          <w:i/>
          <w:color w:val="231F20"/>
        </w:rPr>
        <w:t>[e]very</w:t>
      </w:r>
      <w:r>
        <w:rPr>
          <w:i/>
          <w:color w:val="231F20"/>
          <w:spacing w:val="-29"/>
        </w:rPr>
        <w:t> </w:t>
      </w:r>
      <w:r>
        <w:rPr>
          <w:i/>
          <w:color w:val="231F20"/>
        </w:rPr>
        <w:t>plead- </w:t>
      </w:r>
      <w:r>
        <w:rPr>
          <w:i/>
          <w:color w:val="231F20"/>
        </w:rPr>
        <w:t>ing subsequent to the initial pleading, all orders, and every other document filed </w:t>
      </w:r>
      <w:r>
        <w:rPr>
          <w:color w:val="231F20"/>
        </w:rPr>
        <w:t>in the action must be served in </w:t>
      </w:r>
      <w:r>
        <w:rPr>
          <w:color w:val="231F20"/>
          <w:spacing w:val="3"/>
        </w:rPr>
        <w:t>conformity </w:t>
      </w:r>
      <w:r>
        <w:rPr>
          <w:color w:val="231F20"/>
          <w:spacing w:val="2"/>
        </w:rPr>
        <w:t>with the </w:t>
      </w:r>
      <w:r>
        <w:rPr>
          <w:color w:val="231F20"/>
          <w:spacing w:val="3"/>
        </w:rPr>
        <w:t>requirements </w:t>
      </w:r>
      <w:r>
        <w:rPr>
          <w:color w:val="231F20"/>
          <w:spacing w:val="-3"/>
        </w:rPr>
        <w:t>of </w:t>
      </w:r>
      <w:r>
        <w:rPr>
          <w:color w:val="231F20"/>
        </w:rPr>
        <w:t>Florida Rule of Judicial Administration 2.516.”</w:t>
      </w:r>
      <w:r>
        <w:rPr>
          <w:color w:val="231F20"/>
          <w:position w:val="7"/>
          <w:sz w:val="12"/>
        </w:rPr>
        <w:t>60 </w:t>
      </w:r>
      <w:r>
        <w:rPr>
          <w:color w:val="231F20"/>
        </w:rPr>
        <w:t>The Court found that this re- quirement</w:t>
      </w:r>
      <w:r>
        <w:rPr>
          <w:color w:val="231F20"/>
          <w:spacing w:val="-12"/>
        </w:rPr>
        <w:t> </w:t>
      </w:r>
      <w:r>
        <w:rPr>
          <w:color w:val="231F20"/>
        </w:rPr>
        <w:t>does</w:t>
      </w:r>
      <w:r>
        <w:rPr>
          <w:color w:val="231F20"/>
          <w:spacing w:val="-11"/>
        </w:rPr>
        <w:t> </w:t>
      </w:r>
      <w:r>
        <w:rPr>
          <w:color w:val="231F20"/>
        </w:rPr>
        <w:t>not</w:t>
      </w:r>
      <w:r>
        <w:rPr>
          <w:color w:val="231F20"/>
          <w:spacing w:val="-12"/>
        </w:rPr>
        <w:t> </w:t>
      </w:r>
      <w:r>
        <w:rPr>
          <w:color w:val="231F20"/>
        </w:rPr>
        <w:t>apply</w:t>
      </w:r>
      <w:r>
        <w:rPr>
          <w:color w:val="231F20"/>
          <w:spacing w:val="-11"/>
        </w:rPr>
        <w:t> </w:t>
      </w:r>
      <w:r>
        <w:rPr>
          <w:color w:val="231F20"/>
        </w:rPr>
        <w:t>to</w:t>
      </w:r>
      <w:r>
        <w:rPr>
          <w:color w:val="231F20"/>
          <w:spacing w:val="-12"/>
        </w:rPr>
        <w:t> </w:t>
      </w:r>
      <w:r>
        <w:rPr>
          <w:color w:val="231F20"/>
        </w:rPr>
        <w:t>proposals for settlement because a proposal “is neither a pleading subsequent to the initial pleading, an order, or a docu- ment</w:t>
      </w:r>
      <w:r>
        <w:rPr>
          <w:color w:val="231F20"/>
          <w:spacing w:val="-23"/>
        </w:rPr>
        <w:t> </w:t>
      </w:r>
      <w:r>
        <w:rPr>
          <w:color w:val="231F20"/>
        </w:rPr>
        <w:t>filed</w:t>
      </w:r>
      <w:r>
        <w:rPr>
          <w:color w:val="231F20"/>
          <w:spacing w:val="-22"/>
        </w:rPr>
        <w:t> </w:t>
      </w:r>
      <w:r>
        <w:rPr>
          <w:color w:val="231F20"/>
        </w:rPr>
        <w:t>with</w:t>
      </w:r>
      <w:r>
        <w:rPr>
          <w:color w:val="231F20"/>
          <w:spacing w:val="-22"/>
        </w:rPr>
        <w:t> </w:t>
      </w:r>
      <w:r>
        <w:rPr>
          <w:color w:val="231F20"/>
        </w:rPr>
        <w:t>the</w:t>
      </w:r>
      <w:r>
        <w:rPr>
          <w:color w:val="231F20"/>
          <w:spacing w:val="-22"/>
        </w:rPr>
        <w:t> </w:t>
      </w:r>
      <w:r>
        <w:rPr>
          <w:color w:val="231F20"/>
        </w:rPr>
        <w:t>court.”</w:t>
      </w:r>
      <w:r>
        <w:rPr>
          <w:color w:val="231F20"/>
          <w:position w:val="7"/>
          <w:sz w:val="12"/>
        </w:rPr>
        <w:t>61</w:t>
      </w:r>
      <w:r>
        <w:rPr>
          <w:color w:val="231F20"/>
          <w:spacing w:val="-10"/>
          <w:position w:val="7"/>
          <w:sz w:val="12"/>
        </w:rPr>
        <w:t> </w:t>
      </w:r>
      <w:r>
        <w:rPr>
          <w:color w:val="231F20"/>
          <w:spacing w:val="-4"/>
        </w:rPr>
        <w:t>Accordingly, </w:t>
      </w:r>
      <w:r>
        <w:rPr>
          <w:color w:val="231F20"/>
        </w:rPr>
        <w:t>based on rule 1.080’s plain language, the</w:t>
      </w:r>
      <w:r>
        <w:rPr>
          <w:color w:val="231F20"/>
          <w:spacing w:val="-20"/>
        </w:rPr>
        <w:t> </w:t>
      </w:r>
      <w:r>
        <w:rPr>
          <w:color w:val="231F20"/>
          <w:spacing w:val="-3"/>
        </w:rPr>
        <w:t>Court</w:t>
      </w:r>
      <w:r>
        <w:rPr>
          <w:color w:val="231F20"/>
          <w:spacing w:val="-20"/>
        </w:rPr>
        <w:t> </w:t>
      </w:r>
      <w:r>
        <w:rPr>
          <w:color w:val="231F20"/>
          <w:spacing w:val="-3"/>
        </w:rPr>
        <w:t>held</w:t>
      </w:r>
      <w:r>
        <w:rPr>
          <w:color w:val="231F20"/>
          <w:spacing w:val="-19"/>
        </w:rPr>
        <w:t> </w:t>
      </w:r>
      <w:r>
        <w:rPr>
          <w:color w:val="231F20"/>
          <w:spacing w:val="-3"/>
        </w:rPr>
        <w:t>rule</w:t>
      </w:r>
      <w:r>
        <w:rPr>
          <w:color w:val="231F20"/>
          <w:spacing w:val="-20"/>
        </w:rPr>
        <w:t> </w:t>
      </w:r>
      <w:r>
        <w:rPr>
          <w:color w:val="231F20"/>
          <w:spacing w:val="-3"/>
        </w:rPr>
        <w:t>2.516</w:t>
      </w:r>
      <w:r>
        <w:rPr>
          <w:color w:val="231F20"/>
          <w:spacing w:val="-20"/>
        </w:rPr>
        <w:t> </w:t>
      </w:r>
      <w:r>
        <w:rPr>
          <w:color w:val="231F20"/>
          <w:spacing w:val="-3"/>
        </w:rPr>
        <w:t>does</w:t>
      </w:r>
      <w:r>
        <w:rPr>
          <w:color w:val="231F20"/>
          <w:spacing w:val="-19"/>
        </w:rPr>
        <w:t> </w:t>
      </w:r>
      <w:r>
        <w:rPr>
          <w:color w:val="231F20"/>
        </w:rPr>
        <w:t>not</w:t>
      </w:r>
      <w:r>
        <w:rPr>
          <w:color w:val="231F20"/>
          <w:spacing w:val="-20"/>
        </w:rPr>
        <w:t> </w:t>
      </w:r>
      <w:r>
        <w:rPr>
          <w:color w:val="231F20"/>
          <w:spacing w:val="-3"/>
        </w:rPr>
        <w:t>apply </w:t>
      </w:r>
      <w:r>
        <w:rPr>
          <w:color w:val="231F20"/>
        </w:rPr>
        <w:t>to</w:t>
      </w:r>
      <w:r>
        <w:rPr>
          <w:color w:val="231F20"/>
          <w:spacing w:val="-14"/>
        </w:rPr>
        <w:t> </w:t>
      </w:r>
      <w:r>
        <w:rPr>
          <w:color w:val="231F20"/>
        </w:rPr>
        <w:t>proposals</w:t>
      </w:r>
      <w:r>
        <w:rPr>
          <w:color w:val="231F20"/>
          <w:spacing w:val="-13"/>
        </w:rPr>
        <w:t> </w:t>
      </w:r>
      <w:r>
        <w:rPr>
          <w:color w:val="231F20"/>
        </w:rPr>
        <w:t>for</w:t>
      </w:r>
      <w:r>
        <w:rPr>
          <w:color w:val="231F20"/>
          <w:spacing w:val="-13"/>
        </w:rPr>
        <w:t> </w:t>
      </w:r>
      <w:r>
        <w:rPr>
          <w:color w:val="231F20"/>
        </w:rPr>
        <w:t>settlement</w:t>
      </w:r>
      <w:r>
        <w:rPr>
          <w:color w:val="231F20"/>
          <w:spacing w:val="-13"/>
        </w:rPr>
        <w:t> </w:t>
      </w:r>
      <w:r>
        <w:rPr>
          <w:color w:val="231F20"/>
        </w:rPr>
        <w:t>pursuant</w:t>
      </w:r>
      <w:r>
        <w:rPr>
          <w:color w:val="231F20"/>
          <w:spacing w:val="-13"/>
        </w:rPr>
        <w:t> </w:t>
      </w:r>
      <w:r>
        <w:rPr>
          <w:color w:val="231F20"/>
        </w:rPr>
        <w:t>to section 768.79 and rule</w:t>
      </w:r>
      <w:r>
        <w:rPr>
          <w:color w:val="231F20"/>
          <w:spacing w:val="-6"/>
        </w:rPr>
        <w:t> </w:t>
      </w:r>
      <w:r>
        <w:rPr>
          <w:color w:val="231F20"/>
        </w:rPr>
        <w:t>1.442.</w:t>
      </w:r>
      <w:r>
        <w:rPr>
          <w:color w:val="231F20"/>
          <w:position w:val="7"/>
          <w:sz w:val="12"/>
        </w:rPr>
        <w:t>62</w:t>
      </w:r>
    </w:p>
    <w:p>
      <w:pPr>
        <w:pStyle w:val="BodyText"/>
        <w:spacing w:line="254" w:lineRule="auto" w:before="1"/>
        <w:ind w:left="119" w:right="43" w:firstLine="180"/>
        <w:jc w:val="both"/>
      </w:pPr>
      <w:r>
        <w:rPr>
          <w:color w:val="231F20"/>
        </w:rPr>
        <w:t>The Court then pointed out that in requiring the service of proposals for settlement by e-mail, the Third District misplaced its focus by construing</w:t>
      </w:r>
      <w:r>
        <w:rPr>
          <w:color w:val="231F20"/>
          <w:spacing w:val="32"/>
        </w:rPr>
        <w:t> </w:t>
      </w:r>
      <w:r>
        <w:rPr>
          <w:color w:val="231F20"/>
          <w:spacing w:val="-3"/>
        </w:rPr>
        <w:t>rule</w:t>
      </w:r>
    </w:p>
    <w:p>
      <w:pPr>
        <w:pStyle w:val="BodyText"/>
        <w:spacing w:line="254" w:lineRule="auto"/>
        <w:ind w:left="119" w:right="45"/>
        <w:jc w:val="both"/>
      </w:pPr>
      <w:r>
        <w:rPr>
          <w:color w:val="231F20"/>
        </w:rPr>
        <w:t>2.516 rather than section 768.79 and rule 1.442.</w:t>
      </w:r>
      <w:r>
        <w:rPr>
          <w:color w:val="231F20"/>
          <w:position w:val="7"/>
          <w:sz w:val="12"/>
        </w:rPr>
        <w:t>63 </w:t>
      </w:r>
      <w:r>
        <w:rPr>
          <w:color w:val="231F20"/>
        </w:rPr>
        <w:t>According to the Court, even the plain language of rule</w:t>
      </w:r>
      <w:r>
        <w:rPr>
          <w:color w:val="231F20"/>
          <w:spacing w:val="-9"/>
        </w:rPr>
        <w:t> </w:t>
      </w:r>
      <w:r>
        <w:rPr>
          <w:color w:val="231F20"/>
        </w:rPr>
        <w:t>2.516,</w:t>
      </w:r>
    </w:p>
    <w:p>
      <w:pPr>
        <w:pStyle w:val="BodyText"/>
        <w:spacing w:line="252" w:lineRule="auto" w:before="78"/>
        <w:ind w:left="119" w:right="292"/>
        <w:jc w:val="both"/>
        <w:rPr>
          <w:sz w:val="12"/>
        </w:rPr>
      </w:pPr>
      <w:r>
        <w:rPr/>
        <w:br w:type="column"/>
      </w:r>
      <w:r>
        <w:rPr>
          <w:color w:val="231F20"/>
        </w:rPr>
        <w:t>however, does not support the Third </w:t>
      </w:r>
      <w:r>
        <w:rPr>
          <w:color w:val="231F20"/>
          <w:spacing w:val="4"/>
        </w:rPr>
        <w:t>District’s </w:t>
      </w:r>
      <w:r>
        <w:rPr>
          <w:color w:val="231F20"/>
          <w:spacing w:val="5"/>
        </w:rPr>
        <w:t>conclusion, </w:t>
      </w:r>
      <w:r>
        <w:rPr>
          <w:color w:val="231F20"/>
          <w:spacing w:val="3"/>
        </w:rPr>
        <w:t>and </w:t>
      </w:r>
      <w:r>
        <w:rPr>
          <w:color w:val="231F20"/>
          <w:spacing w:val="4"/>
        </w:rPr>
        <w:t>the </w:t>
      </w:r>
      <w:r>
        <w:rPr>
          <w:color w:val="231F20"/>
          <w:spacing w:val="6"/>
        </w:rPr>
        <w:t>Third </w:t>
      </w:r>
      <w:r>
        <w:rPr>
          <w:color w:val="231F20"/>
        </w:rPr>
        <w:t>District therefore erred in finding that a proposal was subject to this</w:t>
      </w:r>
      <w:r>
        <w:rPr>
          <w:color w:val="231F20"/>
          <w:spacing w:val="-10"/>
        </w:rPr>
        <w:t> </w:t>
      </w:r>
      <w:r>
        <w:rPr>
          <w:color w:val="231F20"/>
        </w:rPr>
        <w:t>rule.</w:t>
      </w:r>
      <w:r>
        <w:rPr>
          <w:color w:val="231F20"/>
          <w:position w:val="7"/>
          <w:sz w:val="12"/>
        </w:rPr>
        <w:t>64</w:t>
      </w:r>
    </w:p>
    <w:p>
      <w:pPr>
        <w:pStyle w:val="BodyText"/>
        <w:spacing w:before="5"/>
        <w:rPr>
          <w:sz w:val="19"/>
        </w:rPr>
      </w:pPr>
    </w:p>
    <w:p>
      <w:pPr>
        <w:spacing w:before="0"/>
        <w:ind w:left="119" w:right="0" w:firstLine="0"/>
        <w:jc w:val="left"/>
        <w:rPr>
          <w:b/>
          <w:sz w:val="24"/>
        </w:rPr>
      </w:pPr>
      <w:r>
        <w:rPr>
          <w:b/>
          <w:color w:val="231F20"/>
          <w:sz w:val="24"/>
        </w:rPr>
        <w:t>Holding</w:t>
      </w:r>
    </w:p>
    <w:p>
      <w:pPr>
        <w:pStyle w:val="BodyText"/>
        <w:spacing w:line="252" w:lineRule="auto" w:before="63"/>
        <w:ind w:left="119" w:right="295" w:firstLine="180"/>
        <w:jc w:val="both"/>
      </w:pPr>
      <w:r>
        <w:rPr>
          <w:color w:val="231F20"/>
        </w:rPr>
        <w:t>In reversing the Third District Court of Appeal in </w:t>
      </w:r>
      <w:r>
        <w:rPr>
          <w:i/>
          <w:color w:val="231F20"/>
        </w:rPr>
        <w:t>Wheaton </w:t>
      </w:r>
      <w:r>
        <w:rPr>
          <w:color w:val="231F20"/>
        </w:rPr>
        <w:t>and approving the </w:t>
      </w:r>
      <w:r>
        <w:rPr>
          <w:i/>
          <w:color w:val="231F20"/>
        </w:rPr>
        <w:t>Boatright</w:t>
      </w:r>
      <w:r>
        <w:rPr>
          <w:color w:val="231F20"/>
        </w:rPr>
        <w:t>, </w:t>
      </w:r>
      <w:r>
        <w:rPr>
          <w:i/>
          <w:color w:val="231F20"/>
        </w:rPr>
        <w:t>McCoy</w:t>
      </w:r>
      <w:r>
        <w:rPr>
          <w:color w:val="231F20"/>
        </w:rPr>
        <w:t>, and </w:t>
      </w:r>
      <w:r>
        <w:rPr>
          <w:i/>
          <w:color w:val="231F20"/>
        </w:rPr>
        <w:t>Oldcastle </w:t>
      </w:r>
      <w:r>
        <w:rPr>
          <w:color w:val="231F20"/>
        </w:rPr>
        <w:t>decisions, the Florida Supreme Court held: “The plain language of section</w:t>
      </w:r>
    </w:p>
    <w:p>
      <w:pPr>
        <w:pStyle w:val="BodyText"/>
        <w:spacing w:line="252" w:lineRule="auto"/>
        <w:ind w:left="120" w:right="294"/>
        <w:jc w:val="both"/>
        <w:rPr>
          <w:sz w:val="12"/>
        </w:rPr>
      </w:pPr>
      <w:r>
        <w:rPr>
          <w:color w:val="231F20"/>
        </w:rPr>
        <w:t>768.79 and rule 1.442 do not require service</w:t>
      </w:r>
      <w:r>
        <w:rPr>
          <w:color w:val="231F20"/>
          <w:spacing w:val="-18"/>
        </w:rPr>
        <w:t> </w:t>
      </w:r>
      <w:r>
        <w:rPr>
          <w:color w:val="231F20"/>
        </w:rPr>
        <w:t>by</w:t>
      </w:r>
      <w:r>
        <w:rPr>
          <w:color w:val="231F20"/>
          <w:spacing w:val="-18"/>
        </w:rPr>
        <w:t> </w:t>
      </w:r>
      <w:r>
        <w:rPr>
          <w:color w:val="231F20"/>
        </w:rPr>
        <w:t>[e-]mail.</w:t>
      </w:r>
      <w:r>
        <w:rPr>
          <w:color w:val="231F20"/>
          <w:spacing w:val="-18"/>
        </w:rPr>
        <w:t> </w:t>
      </w:r>
      <w:r>
        <w:rPr>
          <w:color w:val="231F20"/>
          <w:spacing w:val="-3"/>
        </w:rPr>
        <w:t>Moreover,</w:t>
      </w:r>
      <w:r>
        <w:rPr>
          <w:color w:val="231F20"/>
          <w:spacing w:val="-18"/>
        </w:rPr>
        <w:t> </w:t>
      </w:r>
      <w:r>
        <w:rPr>
          <w:color w:val="231F20"/>
        </w:rPr>
        <w:t>because a</w:t>
      </w:r>
      <w:r>
        <w:rPr>
          <w:color w:val="231F20"/>
          <w:spacing w:val="-27"/>
        </w:rPr>
        <w:t> </w:t>
      </w:r>
      <w:r>
        <w:rPr>
          <w:color w:val="231F20"/>
        </w:rPr>
        <w:t>proposal</w:t>
      </w:r>
      <w:r>
        <w:rPr>
          <w:color w:val="231F20"/>
          <w:spacing w:val="-26"/>
        </w:rPr>
        <w:t> </w:t>
      </w:r>
      <w:r>
        <w:rPr>
          <w:color w:val="231F20"/>
        </w:rPr>
        <w:t>for</w:t>
      </w:r>
      <w:r>
        <w:rPr>
          <w:color w:val="231F20"/>
          <w:spacing w:val="-25"/>
        </w:rPr>
        <w:t> </w:t>
      </w:r>
      <w:r>
        <w:rPr>
          <w:color w:val="231F20"/>
        </w:rPr>
        <w:t>settlement</w:t>
      </w:r>
      <w:r>
        <w:rPr>
          <w:color w:val="231F20"/>
          <w:spacing w:val="-25"/>
        </w:rPr>
        <w:t> </w:t>
      </w:r>
      <w:r>
        <w:rPr>
          <w:color w:val="231F20"/>
        </w:rPr>
        <w:t>is</w:t>
      </w:r>
      <w:r>
        <w:rPr>
          <w:color w:val="231F20"/>
          <w:spacing w:val="-26"/>
        </w:rPr>
        <w:t> </w:t>
      </w:r>
      <w:r>
        <w:rPr>
          <w:color w:val="231F20"/>
        </w:rPr>
        <w:t>a</w:t>
      </w:r>
      <w:r>
        <w:rPr>
          <w:color w:val="231F20"/>
          <w:spacing w:val="-26"/>
        </w:rPr>
        <w:t> </w:t>
      </w:r>
      <w:r>
        <w:rPr>
          <w:color w:val="231F20"/>
        </w:rPr>
        <w:t>document that is required to be served on </w:t>
      </w:r>
      <w:r>
        <w:rPr>
          <w:color w:val="231F20"/>
          <w:spacing w:val="2"/>
        </w:rPr>
        <w:t>the </w:t>
      </w:r>
      <w:r>
        <w:rPr>
          <w:color w:val="231F20"/>
        </w:rPr>
        <w:t>party to whom it is made, rule 2.516 does not</w:t>
      </w:r>
      <w:r>
        <w:rPr>
          <w:color w:val="231F20"/>
          <w:spacing w:val="-2"/>
        </w:rPr>
        <w:t> </w:t>
      </w:r>
      <w:r>
        <w:rPr>
          <w:color w:val="231F20"/>
          <w:spacing w:val="-3"/>
        </w:rPr>
        <w:t>apply.”</w:t>
      </w:r>
      <w:r>
        <w:rPr>
          <w:color w:val="231F20"/>
          <w:spacing w:val="-3"/>
          <w:position w:val="7"/>
          <w:sz w:val="12"/>
        </w:rPr>
        <w:t>65</w:t>
      </w:r>
    </w:p>
    <w:p>
      <w:pPr>
        <w:pStyle w:val="BodyText"/>
        <w:spacing w:before="4"/>
        <w:rPr>
          <w:sz w:val="19"/>
        </w:rPr>
      </w:pPr>
    </w:p>
    <w:p>
      <w:pPr>
        <w:spacing w:before="0"/>
        <w:ind w:left="119" w:right="0" w:firstLine="0"/>
        <w:jc w:val="left"/>
        <w:rPr>
          <w:b/>
          <w:sz w:val="24"/>
        </w:rPr>
      </w:pPr>
      <w:r>
        <w:rPr>
          <w:b/>
          <w:color w:val="231F20"/>
          <w:sz w:val="24"/>
        </w:rPr>
        <w:t>Conclusion</w:t>
      </w:r>
    </w:p>
    <w:p>
      <w:pPr>
        <w:pStyle w:val="BodyText"/>
        <w:spacing w:line="252" w:lineRule="auto" w:before="63"/>
        <w:ind w:left="119" w:right="297" w:firstLine="240"/>
        <w:jc w:val="both"/>
      </w:pPr>
      <w:r>
        <w:rPr>
          <w:color w:val="231F20"/>
        </w:rPr>
        <w:t>With</w:t>
      </w:r>
      <w:r>
        <w:rPr>
          <w:color w:val="231F20"/>
          <w:spacing w:val="-27"/>
        </w:rPr>
        <w:t> </w:t>
      </w:r>
      <w:r>
        <w:rPr>
          <w:color w:val="231F20"/>
        </w:rPr>
        <w:t>the</w:t>
      </w:r>
      <w:r>
        <w:rPr>
          <w:color w:val="231F20"/>
          <w:spacing w:val="-26"/>
        </w:rPr>
        <w:t> </w:t>
      </w:r>
      <w:r>
        <w:rPr>
          <w:i/>
          <w:color w:val="231F20"/>
        </w:rPr>
        <w:t>Wheaton</w:t>
      </w:r>
      <w:r>
        <w:rPr>
          <w:i/>
          <w:color w:val="231F20"/>
          <w:spacing w:val="-26"/>
        </w:rPr>
        <w:t> </w:t>
      </w:r>
      <w:r>
        <w:rPr>
          <w:color w:val="231F20"/>
        </w:rPr>
        <w:t>decision,</w:t>
      </w:r>
      <w:r>
        <w:rPr>
          <w:color w:val="231F20"/>
          <w:spacing w:val="-26"/>
        </w:rPr>
        <w:t> </w:t>
      </w:r>
      <w:r>
        <w:rPr>
          <w:color w:val="231F20"/>
        </w:rPr>
        <w:t>the</w:t>
      </w:r>
      <w:r>
        <w:rPr>
          <w:color w:val="231F20"/>
          <w:spacing w:val="-26"/>
        </w:rPr>
        <w:t> </w:t>
      </w:r>
      <w:r>
        <w:rPr>
          <w:color w:val="231F20"/>
        </w:rPr>
        <w:t>Flor- ida</w:t>
      </w:r>
      <w:r>
        <w:rPr>
          <w:color w:val="231F20"/>
          <w:spacing w:val="-20"/>
        </w:rPr>
        <w:t> </w:t>
      </w:r>
      <w:r>
        <w:rPr>
          <w:color w:val="231F20"/>
        </w:rPr>
        <w:t>Supreme</w:t>
      </w:r>
      <w:r>
        <w:rPr>
          <w:color w:val="231F20"/>
          <w:spacing w:val="-20"/>
        </w:rPr>
        <w:t> </w:t>
      </w:r>
      <w:r>
        <w:rPr>
          <w:color w:val="231F20"/>
        </w:rPr>
        <w:t>Court</w:t>
      </w:r>
      <w:r>
        <w:rPr>
          <w:color w:val="231F20"/>
          <w:spacing w:val="-20"/>
        </w:rPr>
        <w:t> </w:t>
      </w:r>
      <w:r>
        <w:rPr>
          <w:color w:val="231F20"/>
        </w:rPr>
        <w:t>has</w:t>
      </w:r>
      <w:r>
        <w:rPr>
          <w:color w:val="231F20"/>
          <w:spacing w:val="-20"/>
        </w:rPr>
        <w:t> </w:t>
      </w:r>
      <w:r>
        <w:rPr>
          <w:color w:val="231F20"/>
        </w:rPr>
        <w:t>finally</w:t>
      </w:r>
      <w:r>
        <w:rPr>
          <w:color w:val="231F20"/>
          <w:spacing w:val="-20"/>
        </w:rPr>
        <w:t> </w:t>
      </w:r>
      <w:r>
        <w:rPr>
          <w:color w:val="231F20"/>
        </w:rPr>
        <w:t>resolved the</w:t>
      </w:r>
      <w:r>
        <w:rPr>
          <w:color w:val="231F20"/>
          <w:spacing w:val="-27"/>
        </w:rPr>
        <w:t> </w:t>
      </w:r>
      <w:r>
        <w:rPr>
          <w:color w:val="231F20"/>
        </w:rPr>
        <w:t>district</w:t>
      </w:r>
      <w:r>
        <w:rPr>
          <w:color w:val="231F20"/>
          <w:spacing w:val="-26"/>
        </w:rPr>
        <w:t> </w:t>
      </w:r>
      <w:r>
        <w:rPr>
          <w:color w:val="231F20"/>
        </w:rPr>
        <w:t>split</w:t>
      </w:r>
      <w:r>
        <w:rPr>
          <w:color w:val="231F20"/>
          <w:spacing w:val="-26"/>
        </w:rPr>
        <w:t> </w:t>
      </w:r>
      <w:r>
        <w:rPr>
          <w:color w:val="231F20"/>
        </w:rPr>
        <w:t>as</w:t>
      </w:r>
      <w:r>
        <w:rPr>
          <w:color w:val="231F20"/>
          <w:spacing w:val="-26"/>
        </w:rPr>
        <w:t> </w:t>
      </w:r>
      <w:r>
        <w:rPr>
          <w:color w:val="231F20"/>
        </w:rPr>
        <w:t>to</w:t>
      </w:r>
      <w:r>
        <w:rPr>
          <w:color w:val="231F20"/>
          <w:spacing w:val="-26"/>
        </w:rPr>
        <w:t> </w:t>
      </w:r>
      <w:r>
        <w:rPr>
          <w:color w:val="231F20"/>
        </w:rPr>
        <w:t>whether</w:t>
      </w:r>
      <w:r>
        <w:rPr>
          <w:color w:val="231F20"/>
          <w:spacing w:val="-26"/>
        </w:rPr>
        <w:t> </w:t>
      </w:r>
      <w:r>
        <w:rPr>
          <w:color w:val="231F20"/>
        </w:rPr>
        <w:t>proposals for</w:t>
      </w:r>
      <w:r>
        <w:rPr>
          <w:color w:val="231F20"/>
          <w:spacing w:val="-18"/>
        </w:rPr>
        <w:t> </w:t>
      </w:r>
      <w:r>
        <w:rPr>
          <w:color w:val="231F20"/>
          <w:spacing w:val="-3"/>
        </w:rPr>
        <w:t>settlement</w:t>
      </w:r>
      <w:r>
        <w:rPr>
          <w:color w:val="231F20"/>
          <w:spacing w:val="-18"/>
        </w:rPr>
        <w:t> </w:t>
      </w:r>
      <w:r>
        <w:rPr>
          <w:color w:val="231F20"/>
          <w:spacing w:val="-3"/>
        </w:rPr>
        <w:t>under</w:t>
      </w:r>
      <w:r>
        <w:rPr>
          <w:color w:val="231F20"/>
          <w:spacing w:val="-18"/>
        </w:rPr>
        <w:t> </w:t>
      </w:r>
      <w:r>
        <w:rPr>
          <w:color w:val="231F20"/>
          <w:spacing w:val="-3"/>
        </w:rPr>
        <w:t>section</w:t>
      </w:r>
      <w:r>
        <w:rPr>
          <w:color w:val="231F20"/>
          <w:spacing w:val="-18"/>
        </w:rPr>
        <w:t> </w:t>
      </w:r>
      <w:r>
        <w:rPr>
          <w:color w:val="231F20"/>
          <w:spacing w:val="-3"/>
        </w:rPr>
        <w:t>768.79</w:t>
      </w:r>
      <w:r>
        <w:rPr>
          <w:color w:val="231F20"/>
          <w:spacing w:val="-18"/>
        </w:rPr>
        <w:t> </w:t>
      </w:r>
      <w:r>
        <w:rPr>
          <w:color w:val="231F20"/>
          <w:spacing w:val="-3"/>
        </w:rPr>
        <w:t>and </w:t>
      </w:r>
      <w:r>
        <w:rPr>
          <w:color w:val="231F20"/>
        </w:rPr>
        <w:t>rule</w:t>
      </w:r>
      <w:r>
        <w:rPr>
          <w:color w:val="231F20"/>
          <w:spacing w:val="-12"/>
        </w:rPr>
        <w:t> </w:t>
      </w:r>
      <w:r>
        <w:rPr>
          <w:color w:val="231F20"/>
        </w:rPr>
        <w:t>1.442</w:t>
      </w:r>
      <w:r>
        <w:rPr>
          <w:color w:val="231F20"/>
          <w:spacing w:val="-11"/>
        </w:rPr>
        <w:t> </w:t>
      </w:r>
      <w:r>
        <w:rPr>
          <w:color w:val="231F20"/>
        </w:rPr>
        <w:t>must</w:t>
      </w:r>
      <w:r>
        <w:rPr>
          <w:color w:val="231F20"/>
          <w:spacing w:val="-11"/>
        </w:rPr>
        <w:t> </w:t>
      </w:r>
      <w:r>
        <w:rPr>
          <w:color w:val="231F20"/>
        </w:rPr>
        <w:t>comply</w:t>
      </w:r>
      <w:r>
        <w:rPr>
          <w:color w:val="231F20"/>
          <w:spacing w:val="-11"/>
        </w:rPr>
        <w:t> </w:t>
      </w:r>
      <w:r>
        <w:rPr>
          <w:color w:val="231F20"/>
        </w:rPr>
        <w:t>with</w:t>
      </w:r>
      <w:r>
        <w:rPr>
          <w:color w:val="231F20"/>
          <w:spacing w:val="-11"/>
        </w:rPr>
        <w:t> </w:t>
      </w:r>
      <w:r>
        <w:rPr>
          <w:color w:val="231F20"/>
        </w:rPr>
        <w:t>the</w:t>
      </w:r>
      <w:r>
        <w:rPr>
          <w:color w:val="231F20"/>
          <w:spacing w:val="-11"/>
        </w:rPr>
        <w:t> </w:t>
      </w:r>
      <w:r>
        <w:rPr>
          <w:color w:val="231F20"/>
        </w:rPr>
        <w:t>e-mail service provisions of rule 2.516, hold- ing that they need not. The </w:t>
      </w:r>
      <w:r>
        <w:rPr>
          <w:i/>
          <w:color w:val="231F20"/>
        </w:rPr>
        <w:t>Wheaton </w:t>
      </w:r>
      <w:r>
        <w:rPr>
          <w:color w:val="231F20"/>
        </w:rPr>
        <w:t>decision therefore offers some clarity to Florida employment litigators in the already</w:t>
      </w:r>
      <w:r>
        <w:rPr>
          <w:color w:val="231F20"/>
          <w:spacing w:val="-22"/>
        </w:rPr>
        <w:t> </w:t>
      </w:r>
      <w:r>
        <w:rPr>
          <w:color w:val="231F20"/>
        </w:rPr>
        <w:t>challenging</w:t>
      </w:r>
      <w:r>
        <w:rPr>
          <w:color w:val="231F20"/>
          <w:spacing w:val="-21"/>
        </w:rPr>
        <w:t> </w:t>
      </w:r>
      <w:r>
        <w:rPr>
          <w:color w:val="231F20"/>
        </w:rPr>
        <w:t>realm</w:t>
      </w:r>
      <w:r>
        <w:rPr>
          <w:color w:val="231F20"/>
          <w:spacing w:val="-22"/>
        </w:rPr>
        <w:t> </w:t>
      </w:r>
      <w:r>
        <w:rPr>
          <w:color w:val="231F20"/>
        </w:rPr>
        <w:t>of</w:t>
      </w:r>
      <w:r>
        <w:rPr>
          <w:color w:val="231F20"/>
          <w:spacing w:val="-21"/>
        </w:rPr>
        <w:t> </w:t>
      </w:r>
      <w:r>
        <w:rPr>
          <w:color w:val="231F20"/>
        </w:rPr>
        <w:t>proposals for settlement.</w:t>
      </w:r>
    </w:p>
    <w:p>
      <w:pPr>
        <w:pStyle w:val="BodyText"/>
        <w:spacing w:before="10"/>
      </w:pPr>
    </w:p>
    <w:p>
      <w:pPr>
        <w:spacing w:line="252" w:lineRule="auto" w:before="1"/>
        <w:ind w:left="1739" w:right="293" w:firstLine="0"/>
        <w:jc w:val="both"/>
        <w:rPr>
          <w:i/>
          <w:sz w:val="20"/>
        </w:rPr>
      </w:pPr>
      <w:r>
        <w:rPr/>
        <w:pict>
          <v:group style="position:absolute;margin-left:402pt;margin-top:.382892pt;width:72pt;height:96pt;mso-position-horizontal-relative:page;mso-position-vertical-relative:paragraph;z-index:251774976" coordorigin="8040,8" coordsize="1440,1920">
            <v:shape style="position:absolute;left:8050;top:54;width:1420;height:1864" type="#_x0000_t75" stroked="false">
              <v:imagedata r:id="rId78" o:title=""/>
            </v:shape>
            <v:rect style="position:absolute;left:8050;top:17;width:1420;height:1900" filled="false" stroked="true" strokeweight="1pt" strokecolor="#231f20">
              <v:stroke dashstyle="solid"/>
            </v:rect>
            <w10:wrap type="none"/>
          </v:group>
        </w:pict>
      </w:r>
      <w:r>
        <w:rPr>
          <w:b/>
          <w:i/>
          <w:color w:val="231F20"/>
          <w:sz w:val="20"/>
        </w:rPr>
        <w:t>Viktoryia Johnson </w:t>
      </w:r>
      <w:r>
        <w:rPr>
          <w:i/>
          <w:color w:val="231F20"/>
          <w:sz w:val="20"/>
        </w:rPr>
        <w:t>is</w:t>
      </w:r>
      <w:r>
        <w:rPr>
          <w:i/>
          <w:color w:val="231F20"/>
          <w:spacing w:val="-26"/>
          <w:sz w:val="20"/>
        </w:rPr>
        <w:t> </w:t>
      </w:r>
      <w:r>
        <w:rPr>
          <w:i/>
          <w:color w:val="231F20"/>
          <w:sz w:val="20"/>
        </w:rPr>
        <w:t>a</w:t>
      </w:r>
      <w:r>
        <w:rPr>
          <w:i/>
          <w:color w:val="231F20"/>
          <w:spacing w:val="-27"/>
          <w:sz w:val="20"/>
        </w:rPr>
        <w:t> </w:t>
      </w:r>
      <w:r>
        <w:rPr>
          <w:i/>
          <w:color w:val="231F20"/>
          <w:sz w:val="20"/>
        </w:rPr>
        <w:t>senior</w:t>
      </w:r>
      <w:r>
        <w:rPr>
          <w:i/>
          <w:color w:val="231F20"/>
          <w:spacing w:val="-26"/>
          <w:sz w:val="20"/>
        </w:rPr>
        <w:t> </w:t>
      </w:r>
      <w:r>
        <w:rPr>
          <w:i/>
          <w:color w:val="231F20"/>
          <w:sz w:val="20"/>
        </w:rPr>
        <w:t>associate </w:t>
      </w:r>
      <w:r>
        <w:rPr>
          <w:i/>
          <w:color w:val="231F20"/>
          <w:spacing w:val="3"/>
          <w:sz w:val="20"/>
        </w:rPr>
        <w:t>with </w:t>
      </w:r>
      <w:r>
        <w:rPr>
          <w:i/>
          <w:color w:val="231F20"/>
          <w:spacing w:val="4"/>
          <w:sz w:val="20"/>
        </w:rPr>
        <w:t>FordHarrison, </w:t>
      </w:r>
      <w:r>
        <w:rPr>
          <w:i/>
          <w:color w:val="231F20"/>
          <w:sz w:val="20"/>
        </w:rPr>
        <w:t>LLP in </w:t>
      </w:r>
      <w:r>
        <w:rPr>
          <w:i/>
          <w:color w:val="231F20"/>
          <w:spacing w:val="-4"/>
          <w:sz w:val="20"/>
        </w:rPr>
        <w:t>Tampa. </w:t>
      </w:r>
      <w:r>
        <w:rPr>
          <w:i/>
          <w:color w:val="231F20"/>
          <w:sz w:val="20"/>
        </w:rPr>
        <w:t>Ms. </w:t>
      </w:r>
      <w:r>
        <w:rPr>
          <w:i/>
          <w:color w:val="231F20"/>
          <w:spacing w:val="2"/>
          <w:sz w:val="20"/>
        </w:rPr>
        <w:t>Johnson’s practice </w:t>
      </w:r>
      <w:r>
        <w:rPr>
          <w:i/>
          <w:color w:val="231F20"/>
          <w:sz w:val="20"/>
        </w:rPr>
        <w:t>focuses on employ- ment</w:t>
      </w:r>
      <w:r>
        <w:rPr>
          <w:i/>
          <w:color w:val="231F20"/>
          <w:spacing w:val="-2"/>
          <w:sz w:val="20"/>
        </w:rPr>
        <w:t> </w:t>
      </w:r>
      <w:r>
        <w:rPr>
          <w:i/>
          <w:color w:val="231F20"/>
          <w:sz w:val="20"/>
        </w:rPr>
        <w:t>litigation.</w:t>
      </w:r>
    </w:p>
    <w:p>
      <w:pPr>
        <w:pStyle w:val="BodyText"/>
        <w:spacing w:before="9"/>
        <w:rPr>
          <w:i/>
          <w:sz w:val="22"/>
        </w:rPr>
      </w:pPr>
    </w:p>
    <w:p>
      <w:pPr>
        <w:spacing w:before="0"/>
        <w:ind w:left="358" w:right="0" w:firstLine="0"/>
        <w:jc w:val="left"/>
        <w:rPr>
          <w:sz w:val="16"/>
        </w:rPr>
      </w:pPr>
      <w:r>
        <w:rPr>
          <w:color w:val="231F20"/>
          <w:sz w:val="16"/>
        </w:rPr>
        <w:t>V. JOHNSON</w:t>
      </w:r>
    </w:p>
    <w:p>
      <w:pPr>
        <w:spacing w:before="56"/>
        <w:ind w:left="119" w:right="0" w:firstLine="0"/>
        <w:jc w:val="left"/>
        <w:rPr>
          <w:b/>
          <w:sz w:val="20"/>
        </w:rPr>
      </w:pPr>
      <w:r>
        <w:rPr>
          <w:b/>
          <w:color w:val="231F20"/>
          <w:sz w:val="20"/>
        </w:rPr>
        <w:t>Endnotes</w:t>
      </w:r>
    </w:p>
    <w:p>
      <w:pPr>
        <w:spacing w:line="183" w:lineRule="exact" w:before="29"/>
        <w:ind w:left="119" w:right="0" w:firstLine="0"/>
        <w:jc w:val="both"/>
        <w:rPr>
          <w:sz w:val="16"/>
        </w:rPr>
      </w:pPr>
      <w:r>
        <w:rPr>
          <w:color w:val="231F20"/>
          <w:position w:val="5"/>
          <w:sz w:val="9"/>
        </w:rPr>
        <w:t>1    </w:t>
      </w:r>
      <w:r>
        <w:rPr>
          <w:color w:val="231F20"/>
          <w:spacing w:val="11"/>
          <w:position w:val="5"/>
          <w:sz w:val="9"/>
        </w:rPr>
        <w:t> </w:t>
      </w:r>
      <w:r>
        <w:rPr>
          <w:i/>
          <w:color w:val="231F20"/>
          <w:sz w:val="16"/>
        </w:rPr>
        <w:t>EEOC </w:t>
      </w:r>
      <w:r>
        <w:rPr>
          <w:i/>
          <w:color w:val="231F20"/>
          <w:spacing w:val="-6"/>
          <w:sz w:val="16"/>
        </w:rPr>
        <w:t>v. </w:t>
      </w:r>
      <w:r>
        <w:rPr>
          <w:i/>
          <w:color w:val="231F20"/>
          <w:spacing w:val="-3"/>
          <w:sz w:val="16"/>
        </w:rPr>
        <w:t>W. </w:t>
      </w:r>
      <w:r>
        <w:rPr>
          <w:i/>
          <w:color w:val="231F20"/>
          <w:sz w:val="16"/>
        </w:rPr>
        <w:t>Customer Mgmt. Grp., LLC, </w:t>
      </w:r>
      <w:r>
        <w:rPr>
          <w:color w:val="231F20"/>
          <w:sz w:val="16"/>
        </w:rPr>
        <w:t>678</w:t>
      </w:r>
    </w:p>
    <w:p>
      <w:pPr>
        <w:spacing w:line="237" w:lineRule="auto" w:before="0"/>
        <w:ind w:left="119" w:right="297" w:firstLine="0"/>
        <w:jc w:val="both"/>
        <w:rPr>
          <w:sz w:val="16"/>
        </w:rPr>
      </w:pPr>
      <w:r>
        <w:rPr>
          <w:color w:val="231F20"/>
          <w:spacing w:val="-10"/>
          <w:sz w:val="16"/>
        </w:rPr>
        <w:t>F.</w:t>
      </w:r>
      <w:r>
        <w:rPr>
          <w:color w:val="231F20"/>
          <w:spacing w:val="-23"/>
          <w:sz w:val="16"/>
        </w:rPr>
        <w:t> </w:t>
      </w:r>
      <w:r>
        <w:rPr>
          <w:color w:val="231F20"/>
          <w:sz w:val="16"/>
        </w:rPr>
        <w:t>App’x</w:t>
      </w:r>
      <w:r>
        <w:rPr>
          <w:color w:val="231F20"/>
          <w:spacing w:val="-15"/>
          <w:sz w:val="16"/>
        </w:rPr>
        <w:t> </w:t>
      </w:r>
      <w:r>
        <w:rPr>
          <w:color w:val="231F20"/>
          <w:sz w:val="16"/>
        </w:rPr>
        <w:t>836,</w:t>
      </w:r>
      <w:r>
        <w:rPr>
          <w:color w:val="231F20"/>
          <w:spacing w:val="-15"/>
          <w:sz w:val="16"/>
        </w:rPr>
        <w:t> </w:t>
      </w:r>
      <w:r>
        <w:rPr>
          <w:color w:val="231F20"/>
          <w:sz w:val="16"/>
        </w:rPr>
        <w:t>838</w:t>
      </w:r>
      <w:r>
        <w:rPr>
          <w:color w:val="231F20"/>
          <w:spacing w:val="-15"/>
          <w:sz w:val="16"/>
        </w:rPr>
        <w:t> </w:t>
      </w:r>
      <w:r>
        <w:rPr>
          <w:color w:val="231F20"/>
          <w:spacing w:val="-4"/>
          <w:sz w:val="16"/>
        </w:rPr>
        <w:t>(11th</w:t>
      </w:r>
      <w:r>
        <w:rPr>
          <w:color w:val="231F20"/>
          <w:spacing w:val="-15"/>
          <w:sz w:val="16"/>
        </w:rPr>
        <w:t> </w:t>
      </w:r>
      <w:r>
        <w:rPr>
          <w:color w:val="231F20"/>
          <w:spacing w:val="-3"/>
          <w:sz w:val="16"/>
        </w:rPr>
        <w:t>Cir.</w:t>
      </w:r>
      <w:r>
        <w:rPr>
          <w:color w:val="231F20"/>
          <w:spacing w:val="-14"/>
          <w:sz w:val="16"/>
        </w:rPr>
        <w:t> </w:t>
      </w:r>
      <w:r>
        <w:rPr>
          <w:color w:val="231F20"/>
          <w:sz w:val="16"/>
        </w:rPr>
        <w:t>2017)</w:t>
      </w:r>
      <w:r>
        <w:rPr>
          <w:color w:val="231F20"/>
          <w:spacing w:val="-15"/>
          <w:sz w:val="16"/>
        </w:rPr>
        <w:t> </w:t>
      </w:r>
      <w:r>
        <w:rPr>
          <w:color w:val="231F20"/>
          <w:sz w:val="16"/>
        </w:rPr>
        <w:t>(noting</w:t>
      </w:r>
      <w:r>
        <w:rPr>
          <w:color w:val="231F20"/>
          <w:spacing w:val="-16"/>
          <w:sz w:val="16"/>
        </w:rPr>
        <w:t> </w:t>
      </w:r>
      <w:r>
        <w:rPr>
          <w:color w:val="231F20"/>
          <w:sz w:val="16"/>
        </w:rPr>
        <w:t>a</w:t>
      </w:r>
      <w:r>
        <w:rPr>
          <w:color w:val="231F20"/>
          <w:spacing w:val="-15"/>
          <w:sz w:val="16"/>
        </w:rPr>
        <w:t> </w:t>
      </w:r>
      <w:r>
        <w:rPr>
          <w:color w:val="231F20"/>
          <w:sz w:val="16"/>
        </w:rPr>
        <w:t>“strin- gent”</w:t>
      </w:r>
      <w:r>
        <w:rPr>
          <w:color w:val="231F20"/>
          <w:spacing w:val="-8"/>
          <w:sz w:val="16"/>
        </w:rPr>
        <w:t> </w:t>
      </w:r>
      <w:r>
        <w:rPr>
          <w:color w:val="231F20"/>
          <w:sz w:val="16"/>
        </w:rPr>
        <w:t>standard</w:t>
      </w:r>
      <w:r>
        <w:rPr>
          <w:color w:val="231F20"/>
          <w:spacing w:val="-6"/>
          <w:sz w:val="16"/>
        </w:rPr>
        <w:t> </w:t>
      </w:r>
      <w:r>
        <w:rPr>
          <w:color w:val="231F20"/>
          <w:sz w:val="16"/>
        </w:rPr>
        <w:t>for</w:t>
      </w:r>
      <w:r>
        <w:rPr>
          <w:color w:val="231F20"/>
          <w:spacing w:val="-7"/>
          <w:sz w:val="16"/>
        </w:rPr>
        <w:t> </w:t>
      </w:r>
      <w:r>
        <w:rPr>
          <w:color w:val="231F20"/>
          <w:sz w:val="16"/>
        </w:rPr>
        <w:t>an</w:t>
      </w:r>
      <w:r>
        <w:rPr>
          <w:color w:val="231F20"/>
          <w:spacing w:val="-7"/>
          <w:sz w:val="16"/>
        </w:rPr>
        <w:t> </w:t>
      </w:r>
      <w:r>
        <w:rPr>
          <w:color w:val="231F20"/>
          <w:sz w:val="16"/>
        </w:rPr>
        <w:t>award</w:t>
      </w:r>
      <w:r>
        <w:rPr>
          <w:color w:val="231F20"/>
          <w:spacing w:val="-7"/>
          <w:sz w:val="16"/>
        </w:rPr>
        <w:t> </w:t>
      </w:r>
      <w:r>
        <w:rPr>
          <w:color w:val="231F20"/>
          <w:sz w:val="16"/>
        </w:rPr>
        <w:t>of</w:t>
      </w:r>
      <w:r>
        <w:rPr>
          <w:color w:val="231F20"/>
          <w:spacing w:val="-7"/>
          <w:sz w:val="16"/>
        </w:rPr>
        <w:t> </w:t>
      </w:r>
      <w:r>
        <w:rPr>
          <w:color w:val="231F20"/>
          <w:sz w:val="16"/>
        </w:rPr>
        <w:t>attorneys’</w:t>
      </w:r>
      <w:r>
        <w:rPr>
          <w:color w:val="231F20"/>
          <w:spacing w:val="-12"/>
          <w:sz w:val="16"/>
        </w:rPr>
        <w:t> </w:t>
      </w:r>
      <w:r>
        <w:rPr>
          <w:color w:val="231F20"/>
          <w:sz w:val="16"/>
        </w:rPr>
        <w:t>fees</w:t>
      </w:r>
      <w:r>
        <w:rPr>
          <w:color w:val="231F20"/>
          <w:spacing w:val="-7"/>
          <w:sz w:val="16"/>
        </w:rPr>
        <w:t> </w:t>
      </w:r>
      <w:r>
        <w:rPr>
          <w:color w:val="231F20"/>
          <w:sz w:val="16"/>
        </w:rPr>
        <w:t>in the Title VII context (citing </w:t>
      </w:r>
      <w:r>
        <w:rPr>
          <w:i/>
          <w:color w:val="231F20"/>
          <w:sz w:val="16"/>
        </w:rPr>
        <w:t>Christiansburg Gar- </w:t>
      </w:r>
      <w:r>
        <w:rPr>
          <w:i/>
          <w:color w:val="231F20"/>
          <w:sz w:val="16"/>
        </w:rPr>
        <w:t>ment Co. </w:t>
      </w:r>
      <w:r>
        <w:rPr>
          <w:i/>
          <w:color w:val="231F20"/>
          <w:spacing w:val="-6"/>
          <w:sz w:val="16"/>
        </w:rPr>
        <w:t>v. </w:t>
      </w:r>
      <w:r>
        <w:rPr>
          <w:i/>
          <w:color w:val="231F20"/>
          <w:sz w:val="16"/>
        </w:rPr>
        <w:t>EEOC, </w:t>
      </w:r>
      <w:r>
        <w:rPr>
          <w:color w:val="231F20"/>
          <w:sz w:val="16"/>
        </w:rPr>
        <w:t>434 U.S. 412, 421</w:t>
      </w:r>
      <w:r>
        <w:rPr>
          <w:color w:val="231F20"/>
          <w:spacing w:val="-11"/>
          <w:sz w:val="16"/>
        </w:rPr>
        <w:t> </w:t>
      </w:r>
      <w:r>
        <w:rPr>
          <w:color w:val="231F20"/>
          <w:sz w:val="16"/>
        </w:rPr>
        <w:t>(1978))).</w:t>
      </w:r>
    </w:p>
    <w:p>
      <w:pPr>
        <w:spacing w:line="237" w:lineRule="auto" w:before="37"/>
        <w:ind w:left="119" w:right="297" w:hanging="1"/>
        <w:jc w:val="both"/>
        <w:rPr>
          <w:sz w:val="16"/>
        </w:rPr>
      </w:pPr>
      <w:r>
        <w:rPr>
          <w:color w:val="231F20"/>
          <w:position w:val="5"/>
          <w:sz w:val="9"/>
        </w:rPr>
        <w:t>2 </w:t>
      </w:r>
      <w:r>
        <w:rPr>
          <w:i/>
          <w:color w:val="231F20"/>
          <w:sz w:val="16"/>
        </w:rPr>
        <w:t>See, e.g.</w:t>
      </w:r>
      <w:r>
        <w:rPr>
          <w:color w:val="231F20"/>
          <w:sz w:val="16"/>
        </w:rPr>
        <w:t>, </w:t>
      </w:r>
      <w:r>
        <w:rPr>
          <w:i/>
          <w:color w:val="231F20"/>
          <w:sz w:val="16"/>
        </w:rPr>
        <w:t>id. </w:t>
      </w:r>
      <w:r>
        <w:rPr>
          <w:color w:val="231F20"/>
          <w:sz w:val="16"/>
        </w:rPr>
        <w:t>(noting that a district court may award attorneys’ fees to prevailing Title VII de- fendants only after a finding that the action was “frivolous, unreasonable, or without foundation, even</w:t>
      </w:r>
      <w:r>
        <w:rPr>
          <w:color w:val="231F20"/>
          <w:spacing w:val="-18"/>
          <w:sz w:val="16"/>
        </w:rPr>
        <w:t> </w:t>
      </w:r>
      <w:r>
        <w:rPr>
          <w:color w:val="231F20"/>
          <w:sz w:val="16"/>
        </w:rPr>
        <w:t>though</w:t>
      </w:r>
      <w:r>
        <w:rPr>
          <w:color w:val="231F20"/>
          <w:spacing w:val="-18"/>
          <w:sz w:val="16"/>
        </w:rPr>
        <w:t> </w:t>
      </w:r>
      <w:r>
        <w:rPr>
          <w:color w:val="231F20"/>
          <w:sz w:val="16"/>
        </w:rPr>
        <w:t>not</w:t>
      </w:r>
      <w:r>
        <w:rPr>
          <w:color w:val="231F20"/>
          <w:spacing w:val="-18"/>
          <w:sz w:val="16"/>
        </w:rPr>
        <w:t> </w:t>
      </w:r>
      <w:r>
        <w:rPr>
          <w:color w:val="231F20"/>
          <w:sz w:val="16"/>
        </w:rPr>
        <w:t>brought</w:t>
      </w:r>
      <w:r>
        <w:rPr>
          <w:color w:val="231F20"/>
          <w:spacing w:val="-17"/>
          <w:sz w:val="16"/>
        </w:rPr>
        <w:t> </w:t>
      </w:r>
      <w:r>
        <w:rPr>
          <w:color w:val="231F20"/>
          <w:sz w:val="16"/>
        </w:rPr>
        <w:t>in</w:t>
      </w:r>
      <w:r>
        <w:rPr>
          <w:color w:val="231F20"/>
          <w:spacing w:val="-18"/>
          <w:sz w:val="16"/>
        </w:rPr>
        <w:t> </w:t>
      </w:r>
      <w:r>
        <w:rPr>
          <w:color w:val="231F20"/>
          <w:sz w:val="16"/>
        </w:rPr>
        <w:t>subjective</w:t>
      </w:r>
      <w:r>
        <w:rPr>
          <w:color w:val="231F20"/>
          <w:spacing w:val="-18"/>
          <w:sz w:val="16"/>
        </w:rPr>
        <w:t> </w:t>
      </w:r>
      <w:r>
        <w:rPr>
          <w:color w:val="231F20"/>
          <w:sz w:val="16"/>
        </w:rPr>
        <w:t>bad</w:t>
      </w:r>
      <w:r>
        <w:rPr>
          <w:color w:val="231F20"/>
          <w:spacing w:val="-17"/>
          <w:sz w:val="16"/>
        </w:rPr>
        <w:t> </w:t>
      </w:r>
      <w:r>
        <w:rPr>
          <w:color w:val="231F20"/>
          <w:sz w:val="16"/>
        </w:rPr>
        <w:t>faith”); </w:t>
      </w:r>
      <w:r>
        <w:rPr>
          <w:i/>
          <w:color w:val="231F20"/>
          <w:sz w:val="16"/>
        </w:rPr>
        <w:t>Alansari</w:t>
      </w:r>
      <w:r>
        <w:rPr>
          <w:i/>
          <w:color w:val="231F20"/>
          <w:spacing w:val="-18"/>
          <w:sz w:val="16"/>
        </w:rPr>
        <w:t> </w:t>
      </w:r>
      <w:r>
        <w:rPr>
          <w:i/>
          <w:color w:val="231F20"/>
          <w:spacing w:val="-7"/>
          <w:sz w:val="16"/>
        </w:rPr>
        <w:t>v.</w:t>
      </w:r>
      <w:r>
        <w:rPr>
          <w:i/>
          <w:color w:val="231F20"/>
          <w:spacing w:val="-17"/>
          <w:sz w:val="16"/>
        </w:rPr>
        <w:t> </w:t>
      </w:r>
      <w:r>
        <w:rPr>
          <w:i/>
          <w:color w:val="231F20"/>
          <w:spacing w:val="-3"/>
          <w:sz w:val="16"/>
        </w:rPr>
        <w:t>Tropic</w:t>
      </w:r>
      <w:r>
        <w:rPr>
          <w:i/>
          <w:color w:val="231F20"/>
          <w:spacing w:val="-17"/>
          <w:sz w:val="16"/>
        </w:rPr>
        <w:t> </w:t>
      </w:r>
      <w:r>
        <w:rPr>
          <w:i/>
          <w:color w:val="231F20"/>
          <w:sz w:val="16"/>
        </w:rPr>
        <w:t>Star</w:t>
      </w:r>
      <w:r>
        <w:rPr>
          <w:i/>
          <w:color w:val="231F20"/>
          <w:spacing w:val="-17"/>
          <w:sz w:val="16"/>
        </w:rPr>
        <w:t> </w:t>
      </w:r>
      <w:r>
        <w:rPr>
          <w:i/>
          <w:color w:val="231F20"/>
          <w:sz w:val="16"/>
        </w:rPr>
        <w:t>Seafood,</w:t>
      </w:r>
      <w:r>
        <w:rPr>
          <w:i/>
          <w:color w:val="231F20"/>
          <w:spacing w:val="-17"/>
          <w:sz w:val="16"/>
        </w:rPr>
        <w:t> </w:t>
      </w:r>
      <w:r>
        <w:rPr>
          <w:i/>
          <w:color w:val="231F20"/>
          <w:sz w:val="16"/>
        </w:rPr>
        <w:t>Inc.</w:t>
      </w:r>
      <w:r>
        <w:rPr>
          <w:color w:val="231F20"/>
          <w:sz w:val="16"/>
        </w:rPr>
        <w:t>,</w:t>
      </w:r>
      <w:r>
        <w:rPr>
          <w:color w:val="231F20"/>
          <w:spacing w:val="-17"/>
          <w:sz w:val="16"/>
        </w:rPr>
        <w:t> </w:t>
      </w:r>
      <w:r>
        <w:rPr>
          <w:color w:val="231F20"/>
          <w:sz w:val="16"/>
        </w:rPr>
        <w:t>395</w:t>
      </w:r>
      <w:r>
        <w:rPr>
          <w:color w:val="231F20"/>
          <w:spacing w:val="-17"/>
          <w:sz w:val="16"/>
        </w:rPr>
        <w:t> </w:t>
      </w:r>
      <w:r>
        <w:rPr>
          <w:color w:val="231F20"/>
          <w:spacing w:val="-10"/>
          <w:sz w:val="16"/>
        </w:rPr>
        <w:t>F.</w:t>
      </w:r>
      <w:r>
        <w:rPr>
          <w:color w:val="231F20"/>
          <w:spacing w:val="-24"/>
          <w:sz w:val="16"/>
        </w:rPr>
        <w:t> </w:t>
      </w:r>
      <w:r>
        <w:rPr>
          <w:color w:val="231F20"/>
          <w:sz w:val="16"/>
        </w:rPr>
        <w:t>App’x 629,</w:t>
      </w:r>
      <w:r>
        <w:rPr>
          <w:color w:val="231F20"/>
          <w:spacing w:val="-23"/>
          <w:sz w:val="16"/>
        </w:rPr>
        <w:t> </w:t>
      </w:r>
      <w:r>
        <w:rPr>
          <w:color w:val="231F20"/>
          <w:sz w:val="16"/>
        </w:rPr>
        <w:t>632</w:t>
      </w:r>
      <w:r>
        <w:rPr>
          <w:color w:val="231F20"/>
          <w:spacing w:val="-22"/>
          <w:sz w:val="16"/>
        </w:rPr>
        <w:t> </w:t>
      </w:r>
      <w:r>
        <w:rPr>
          <w:color w:val="231F20"/>
          <w:spacing w:val="-4"/>
          <w:sz w:val="16"/>
        </w:rPr>
        <w:t>(11th</w:t>
      </w:r>
      <w:r>
        <w:rPr>
          <w:color w:val="231F20"/>
          <w:spacing w:val="-22"/>
          <w:sz w:val="16"/>
        </w:rPr>
        <w:t> </w:t>
      </w:r>
      <w:r>
        <w:rPr>
          <w:color w:val="231F20"/>
          <w:spacing w:val="-4"/>
          <w:sz w:val="16"/>
        </w:rPr>
        <w:t>Cir.</w:t>
      </w:r>
      <w:r>
        <w:rPr>
          <w:color w:val="231F20"/>
          <w:spacing w:val="-22"/>
          <w:sz w:val="16"/>
        </w:rPr>
        <w:t> </w:t>
      </w:r>
      <w:r>
        <w:rPr>
          <w:color w:val="231F20"/>
          <w:sz w:val="16"/>
        </w:rPr>
        <w:t>2010)</w:t>
      </w:r>
      <w:r>
        <w:rPr>
          <w:color w:val="231F20"/>
          <w:spacing w:val="-22"/>
          <w:sz w:val="16"/>
        </w:rPr>
        <w:t> </w:t>
      </w:r>
      <w:r>
        <w:rPr>
          <w:color w:val="231F20"/>
          <w:sz w:val="16"/>
        </w:rPr>
        <w:t>(noting,</w:t>
      </w:r>
      <w:r>
        <w:rPr>
          <w:color w:val="231F20"/>
          <w:spacing w:val="-22"/>
          <w:sz w:val="16"/>
        </w:rPr>
        <w:t> </w:t>
      </w:r>
      <w:r>
        <w:rPr>
          <w:color w:val="231F20"/>
          <w:sz w:val="16"/>
        </w:rPr>
        <w:t>in</w:t>
      </w:r>
      <w:r>
        <w:rPr>
          <w:color w:val="231F20"/>
          <w:spacing w:val="-22"/>
          <w:sz w:val="16"/>
        </w:rPr>
        <w:t> </w:t>
      </w:r>
      <w:r>
        <w:rPr>
          <w:color w:val="231F20"/>
          <w:sz w:val="16"/>
        </w:rPr>
        <w:t>whistleblower and</w:t>
      </w:r>
      <w:r>
        <w:rPr>
          <w:color w:val="231F20"/>
          <w:spacing w:val="-19"/>
          <w:sz w:val="16"/>
        </w:rPr>
        <w:t> </w:t>
      </w:r>
      <w:r>
        <w:rPr>
          <w:color w:val="231F20"/>
          <w:sz w:val="16"/>
        </w:rPr>
        <w:t>workers’</w:t>
      </w:r>
      <w:r>
        <w:rPr>
          <w:color w:val="231F20"/>
          <w:spacing w:val="-22"/>
          <w:sz w:val="16"/>
        </w:rPr>
        <w:t> </w:t>
      </w:r>
      <w:r>
        <w:rPr>
          <w:color w:val="231F20"/>
          <w:sz w:val="16"/>
        </w:rPr>
        <w:t>compensation</w:t>
      </w:r>
      <w:r>
        <w:rPr>
          <w:color w:val="231F20"/>
          <w:spacing w:val="-18"/>
          <w:sz w:val="16"/>
        </w:rPr>
        <w:t> </w:t>
      </w:r>
      <w:r>
        <w:rPr>
          <w:color w:val="231F20"/>
          <w:sz w:val="16"/>
        </w:rPr>
        <w:t>claims</w:t>
      </w:r>
      <w:r>
        <w:rPr>
          <w:color w:val="231F20"/>
          <w:spacing w:val="-18"/>
          <w:sz w:val="16"/>
        </w:rPr>
        <w:t> </w:t>
      </w:r>
      <w:r>
        <w:rPr>
          <w:color w:val="231F20"/>
          <w:sz w:val="16"/>
        </w:rPr>
        <w:t>under</w:t>
      </w:r>
      <w:r>
        <w:rPr>
          <w:color w:val="231F20"/>
          <w:spacing w:val="-18"/>
          <w:sz w:val="16"/>
        </w:rPr>
        <w:t> </w:t>
      </w:r>
      <w:r>
        <w:rPr>
          <w:color w:val="231F20"/>
          <w:sz w:val="16"/>
        </w:rPr>
        <w:t>Florida </w:t>
      </w:r>
      <w:r>
        <w:rPr>
          <w:color w:val="231F20"/>
          <w:spacing w:val="-4"/>
          <w:sz w:val="16"/>
        </w:rPr>
        <w:t>law,</w:t>
      </w:r>
      <w:r>
        <w:rPr>
          <w:color w:val="231F20"/>
          <w:spacing w:val="-22"/>
          <w:sz w:val="16"/>
        </w:rPr>
        <w:t> </w:t>
      </w:r>
      <w:r>
        <w:rPr>
          <w:color w:val="231F20"/>
          <w:sz w:val="16"/>
        </w:rPr>
        <w:t>that</w:t>
      </w:r>
      <w:r>
        <w:rPr>
          <w:color w:val="231F20"/>
          <w:spacing w:val="-22"/>
          <w:sz w:val="16"/>
        </w:rPr>
        <w:t> </w:t>
      </w:r>
      <w:r>
        <w:rPr>
          <w:color w:val="231F20"/>
          <w:sz w:val="16"/>
        </w:rPr>
        <w:t>“because</w:t>
      </w:r>
      <w:r>
        <w:rPr>
          <w:color w:val="231F20"/>
          <w:spacing w:val="-22"/>
          <w:sz w:val="16"/>
        </w:rPr>
        <w:t> </w:t>
      </w:r>
      <w:r>
        <w:rPr>
          <w:color w:val="231F20"/>
          <w:sz w:val="16"/>
        </w:rPr>
        <w:t>Florida</w:t>
      </w:r>
      <w:r>
        <w:rPr>
          <w:color w:val="231F20"/>
          <w:spacing w:val="-22"/>
          <w:sz w:val="16"/>
        </w:rPr>
        <w:t> </w:t>
      </w:r>
      <w:r>
        <w:rPr>
          <w:color w:val="231F20"/>
          <w:sz w:val="16"/>
        </w:rPr>
        <w:t>law</w:t>
      </w:r>
      <w:r>
        <w:rPr>
          <w:color w:val="231F20"/>
          <w:spacing w:val="-22"/>
          <w:sz w:val="16"/>
        </w:rPr>
        <w:t> </w:t>
      </w:r>
      <w:r>
        <w:rPr>
          <w:color w:val="231F20"/>
          <w:sz w:val="16"/>
        </w:rPr>
        <w:t>prevents</w:t>
      </w:r>
      <w:r>
        <w:rPr>
          <w:color w:val="231F20"/>
          <w:spacing w:val="-22"/>
          <w:sz w:val="16"/>
        </w:rPr>
        <w:t> </w:t>
      </w:r>
      <w:r>
        <w:rPr>
          <w:color w:val="231F20"/>
          <w:sz w:val="16"/>
        </w:rPr>
        <w:t>awards</w:t>
      </w:r>
      <w:r>
        <w:rPr>
          <w:color w:val="231F20"/>
          <w:spacing w:val="-22"/>
          <w:sz w:val="16"/>
        </w:rPr>
        <w:t> </w:t>
      </w:r>
      <w:r>
        <w:rPr>
          <w:color w:val="231F20"/>
          <w:sz w:val="16"/>
        </w:rPr>
        <w:t>of attorneys’ fees, even after an offer of judgment, in state and federal civil rights cases absent a showing</w:t>
      </w:r>
      <w:r>
        <w:rPr>
          <w:color w:val="231F20"/>
          <w:spacing w:val="-14"/>
          <w:sz w:val="16"/>
        </w:rPr>
        <w:t> </w:t>
      </w:r>
      <w:r>
        <w:rPr>
          <w:color w:val="231F20"/>
          <w:sz w:val="16"/>
        </w:rPr>
        <w:t>of</w:t>
      </w:r>
      <w:r>
        <w:rPr>
          <w:color w:val="231F20"/>
          <w:spacing w:val="-14"/>
          <w:sz w:val="16"/>
        </w:rPr>
        <w:t> </w:t>
      </w:r>
      <w:r>
        <w:rPr>
          <w:color w:val="231F20"/>
          <w:sz w:val="16"/>
        </w:rPr>
        <w:t>frivolity,</w:t>
      </w:r>
      <w:r>
        <w:rPr>
          <w:color w:val="231F20"/>
          <w:spacing w:val="-14"/>
          <w:sz w:val="16"/>
        </w:rPr>
        <w:t> </w:t>
      </w:r>
      <w:r>
        <w:rPr>
          <w:color w:val="231F20"/>
          <w:sz w:val="16"/>
        </w:rPr>
        <w:t>the</w:t>
      </w:r>
      <w:r>
        <w:rPr>
          <w:color w:val="231F20"/>
          <w:spacing w:val="-13"/>
          <w:sz w:val="16"/>
        </w:rPr>
        <w:t> </w:t>
      </w:r>
      <w:r>
        <w:rPr>
          <w:color w:val="231F20"/>
          <w:sz w:val="16"/>
        </w:rPr>
        <w:t>court</w:t>
      </w:r>
      <w:r>
        <w:rPr>
          <w:color w:val="231F20"/>
          <w:spacing w:val="-14"/>
          <w:sz w:val="16"/>
        </w:rPr>
        <w:t> </w:t>
      </w:r>
      <w:r>
        <w:rPr>
          <w:color w:val="231F20"/>
          <w:sz w:val="16"/>
        </w:rPr>
        <w:t>did</w:t>
      </w:r>
      <w:r>
        <w:rPr>
          <w:color w:val="231F20"/>
          <w:spacing w:val="-14"/>
          <w:sz w:val="16"/>
        </w:rPr>
        <w:t> </w:t>
      </w:r>
      <w:r>
        <w:rPr>
          <w:color w:val="231F20"/>
          <w:sz w:val="16"/>
        </w:rPr>
        <w:t>not</w:t>
      </w:r>
      <w:r>
        <w:rPr>
          <w:color w:val="231F20"/>
          <w:spacing w:val="-13"/>
          <w:sz w:val="16"/>
        </w:rPr>
        <w:t> </w:t>
      </w:r>
      <w:r>
        <w:rPr>
          <w:color w:val="231F20"/>
          <w:sz w:val="16"/>
        </w:rPr>
        <w:t>err</w:t>
      </w:r>
      <w:r>
        <w:rPr>
          <w:color w:val="231F20"/>
          <w:spacing w:val="-14"/>
          <w:sz w:val="16"/>
        </w:rPr>
        <w:t> </w:t>
      </w:r>
      <w:r>
        <w:rPr>
          <w:color w:val="231F20"/>
          <w:sz w:val="16"/>
        </w:rPr>
        <w:t>in</w:t>
      </w:r>
      <w:r>
        <w:rPr>
          <w:color w:val="231F20"/>
          <w:spacing w:val="-14"/>
          <w:sz w:val="16"/>
        </w:rPr>
        <w:t> </w:t>
      </w:r>
      <w:r>
        <w:rPr>
          <w:color w:val="231F20"/>
          <w:sz w:val="16"/>
        </w:rPr>
        <w:t>declin- ing to award fees under section</w:t>
      </w:r>
      <w:r>
        <w:rPr>
          <w:color w:val="231F20"/>
          <w:spacing w:val="-10"/>
          <w:sz w:val="16"/>
        </w:rPr>
        <w:t> </w:t>
      </w:r>
      <w:r>
        <w:rPr>
          <w:color w:val="231F20"/>
          <w:sz w:val="16"/>
        </w:rPr>
        <w:t>768.79”).</w:t>
      </w:r>
    </w:p>
    <w:p>
      <w:pPr>
        <w:spacing w:before="29"/>
        <w:ind w:left="119" w:right="0" w:firstLine="0"/>
        <w:jc w:val="both"/>
        <w:rPr>
          <w:sz w:val="16"/>
        </w:rPr>
      </w:pPr>
      <w:r>
        <w:rPr>
          <w:color w:val="231F20"/>
          <w:position w:val="5"/>
          <w:sz w:val="9"/>
        </w:rPr>
        <w:t>3 </w:t>
      </w:r>
      <w:r>
        <w:rPr>
          <w:color w:val="231F20"/>
          <w:sz w:val="16"/>
        </w:rPr>
        <w:t>44 Fla. L. Weekly 94 (2019).</w:t>
      </w:r>
    </w:p>
    <w:p>
      <w:pPr>
        <w:spacing w:before="30"/>
        <w:ind w:left="1622" w:right="0" w:firstLine="0"/>
        <w:jc w:val="left"/>
        <w:rPr>
          <w:i/>
          <w:sz w:val="20"/>
        </w:rPr>
      </w:pPr>
      <w:r>
        <w:rPr>
          <w:i/>
          <w:color w:val="231F20"/>
          <w:sz w:val="20"/>
        </w:rPr>
        <w:t>continued, next page</w:t>
      </w:r>
    </w:p>
    <w:p>
      <w:pPr>
        <w:spacing w:after="0"/>
        <w:jc w:val="left"/>
        <w:rPr>
          <w:sz w:val="20"/>
        </w:rPr>
        <w:sectPr>
          <w:headerReference w:type="default" r:id="rId76"/>
          <w:footerReference w:type="default" r:id="rId77"/>
          <w:pgSz w:w="12240" w:h="15840"/>
          <w:pgMar w:header="0" w:footer="558" w:top="840" w:bottom="740" w:left="720" w:right="540"/>
          <w:pgNumType w:start="13"/>
          <w:cols w:num="3" w:equalWidth="0">
            <w:col w:w="3524" w:space="76"/>
            <w:col w:w="3527" w:space="73"/>
            <w:col w:w="3780"/>
          </w:cols>
        </w:sectPr>
      </w:pPr>
    </w:p>
    <w:p>
      <w:pPr>
        <w:pStyle w:val="BodyText"/>
        <w:spacing w:before="2"/>
        <w:rPr>
          <w:i/>
          <w:sz w:val="9"/>
        </w:rPr>
      </w:pPr>
    </w:p>
    <w:p>
      <w:pPr>
        <w:pStyle w:val="BodyText"/>
        <w:spacing w:line="20" w:lineRule="exact"/>
        <w:ind w:left="110" w:right="-188"/>
        <w:rPr>
          <w:sz w:val="2"/>
        </w:rPr>
      </w:pPr>
      <w:r>
        <w:rPr>
          <w:sz w:val="2"/>
        </w:rPr>
        <w:pict>
          <v:group style="width:168pt;height:1pt;mso-position-horizontal-relative:char;mso-position-vertical-relative:line" coordorigin="0,0" coordsize="3360,20">
            <v:line style="position:absolute" from="0,10" to="3360,10" stroked="true" strokeweight="1pt" strokecolor="#231f20">
              <v:stroke dashstyle="solid"/>
            </v:line>
          </v:group>
        </w:pict>
      </w:r>
      <w:r>
        <w:rPr>
          <w:sz w:val="2"/>
        </w:rPr>
      </w:r>
    </w:p>
    <w:p>
      <w:pPr>
        <w:spacing w:before="92"/>
        <w:ind w:left="120" w:right="0" w:firstLine="0"/>
        <w:jc w:val="left"/>
        <w:rPr>
          <w:i/>
          <w:sz w:val="20"/>
        </w:rPr>
      </w:pPr>
      <w:r>
        <w:rPr>
          <w:b/>
          <w:color w:val="0076BF"/>
          <w:sz w:val="20"/>
        </w:rPr>
        <w:t>IT SAyS WHAT IT SAyS, </w:t>
      </w:r>
      <w:r>
        <w:rPr>
          <w:i/>
          <w:color w:val="0076BF"/>
          <w:sz w:val="20"/>
        </w:rPr>
        <w:t>continued</w:t>
      </w:r>
    </w:p>
    <w:p>
      <w:pPr>
        <w:pStyle w:val="BodyText"/>
        <w:spacing w:before="6"/>
        <w:rPr>
          <w:i/>
          <w:sz w:val="8"/>
        </w:rPr>
      </w:pPr>
    </w:p>
    <w:p>
      <w:pPr>
        <w:pStyle w:val="BodyText"/>
        <w:spacing w:line="40" w:lineRule="exact"/>
        <w:ind w:left="100" w:right="-173"/>
        <w:rPr>
          <w:sz w:val="4"/>
        </w:rPr>
      </w:pPr>
      <w:r>
        <w:rPr>
          <w:position w:val="0"/>
          <w:sz w:val="4"/>
        </w:rPr>
        <w:pict>
          <v:group style="width:168pt;height:2pt;mso-position-horizontal-relative:char;mso-position-vertical-relative:line" coordorigin="0,0" coordsize="3360,40">
            <v:line style="position:absolute" from="0,20" to="3360,20" stroked="true" strokeweight="2pt" strokecolor="#231f20">
              <v:stroke dashstyle="solid"/>
            </v:line>
          </v:group>
        </w:pict>
      </w:r>
      <w:r>
        <w:rPr>
          <w:position w:val="0"/>
          <w:sz w:val="4"/>
        </w:rPr>
      </w:r>
    </w:p>
    <w:p>
      <w:pPr>
        <w:pStyle w:val="BodyText"/>
        <w:spacing w:before="10"/>
        <w:rPr>
          <w:i/>
          <w:sz w:val="27"/>
        </w:rPr>
      </w:pPr>
    </w:p>
    <w:p>
      <w:pPr>
        <w:spacing w:before="0"/>
        <w:ind w:left="120" w:right="0" w:firstLine="0"/>
        <w:jc w:val="left"/>
        <w:rPr>
          <w:sz w:val="16"/>
        </w:rPr>
      </w:pPr>
      <w:r>
        <w:rPr>
          <w:color w:val="231F20"/>
          <w:position w:val="5"/>
          <w:sz w:val="9"/>
        </w:rPr>
        <w:t>4       </w:t>
      </w:r>
      <w:r>
        <w:rPr>
          <w:color w:val="231F20"/>
          <w:sz w:val="16"/>
        </w:rPr>
        <w:t>217 So. 3d 125 (Fla. 3d DCA</w:t>
      </w:r>
      <w:r>
        <w:rPr>
          <w:color w:val="231F20"/>
          <w:spacing w:val="-13"/>
          <w:sz w:val="16"/>
        </w:rPr>
        <w:t> </w:t>
      </w:r>
      <w:r>
        <w:rPr>
          <w:color w:val="231F20"/>
          <w:sz w:val="16"/>
        </w:rPr>
        <w:t>2017).</w:t>
      </w:r>
    </w:p>
    <w:p>
      <w:pPr>
        <w:spacing w:before="50"/>
        <w:ind w:left="120" w:right="0" w:firstLine="0"/>
        <w:jc w:val="left"/>
        <w:rPr>
          <w:sz w:val="16"/>
        </w:rPr>
      </w:pPr>
      <w:r>
        <w:rPr>
          <w:color w:val="231F20"/>
          <w:position w:val="5"/>
          <w:sz w:val="9"/>
        </w:rPr>
        <w:t>5       </w:t>
      </w:r>
      <w:r>
        <w:rPr>
          <w:color w:val="231F20"/>
          <w:sz w:val="16"/>
        </w:rPr>
        <w:t>218 So. 3d 962 (Fla. 2d DCA</w:t>
      </w:r>
      <w:r>
        <w:rPr>
          <w:color w:val="231F20"/>
          <w:spacing w:val="-13"/>
          <w:sz w:val="16"/>
        </w:rPr>
        <w:t> </w:t>
      </w:r>
      <w:r>
        <w:rPr>
          <w:color w:val="231F20"/>
          <w:sz w:val="16"/>
        </w:rPr>
        <w:t>2017).</w:t>
      </w:r>
    </w:p>
    <w:p>
      <w:pPr>
        <w:spacing w:before="49"/>
        <w:ind w:left="120" w:right="0" w:firstLine="0"/>
        <w:jc w:val="left"/>
        <w:rPr>
          <w:sz w:val="16"/>
        </w:rPr>
      </w:pPr>
      <w:r>
        <w:rPr>
          <w:color w:val="231F20"/>
          <w:position w:val="5"/>
          <w:sz w:val="9"/>
        </w:rPr>
        <w:t>6       </w:t>
      </w:r>
      <w:r>
        <w:rPr>
          <w:color w:val="231F20"/>
          <w:sz w:val="16"/>
        </w:rPr>
        <w:t>229 So. 3d 827 (Fla. 4th DCA</w:t>
      </w:r>
      <w:r>
        <w:rPr>
          <w:color w:val="231F20"/>
          <w:spacing w:val="-14"/>
          <w:sz w:val="16"/>
        </w:rPr>
        <w:t> </w:t>
      </w:r>
      <w:r>
        <w:rPr>
          <w:color w:val="231F20"/>
          <w:sz w:val="16"/>
        </w:rPr>
        <w:t>2017).</w:t>
      </w:r>
    </w:p>
    <w:p>
      <w:pPr>
        <w:spacing w:before="50"/>
        <w:ind w:left="120" w:right="0" w:firstLine="0"/>
        <w:jc w:val="left"/>
        <w:rPr>
          <w:sz w:val="16"/>
        </w:rPr>
      </w:pPr>
      <w:r>
        <w:rPr>
          <w:color w:val="231F20"/>
          <w:position w:val="5"/>
          <w:sz w:val="9"/>
        </w:rPr>
        <w:t>7       </w:t>
      </w:r>
      <w:r>
        <w:rPr>
          <w:color w:val="231F20"/>
          <w:sz w:val="16"/>
        </w:rPr>
        <w:t>235 So. 3d 993 (Fla. 1st DCA</w:t>
      </w:r>
      <w:r>
        <w:rPr>
          <w:color w:val="231F20"/>
          <w:spacing w:val="-14"/>
          <w:sz w:val="16"/>
        </w:rPr>
        <w:t> </w:t>
      </w:r>
      <w:r>
        <w:rPr>
          <w:color w:val="231F20"/>
          <w:sz w:val="16"/>
        </w:rPr>
        <w:t>2017).</w:t>
      </w:r>
    </w:p>
    <w:p>
      <w:pPr>
        <w:spacing w:before="50"/>
        <w:ind w:left="120" w:right="0" w:firstLine="0"/>
        <w:jc w:val="left"/>
        <w:rPr>
          <w:sz w:val="16"/>
        </w:rPr>
      </w:pPr>
      <w:r>
        <w:rPr>
          <w:color w:val="231F20"/>
          <w:position w:val="5"/>
          <w:sz w:val="9"/>
        </w:rPr>
        <w:t>8 </w:t>
      </w:r>
      <w:r>
        <w:rPr>
          <w:i/>
          <w:color w:val="231F20"/>
          <w:sz w:val="16"/>
        </w:rPr>
        <w:t>Wheaton</w:t>
      </w:r>
      <w:r>
        <w:rPr>
          <w:color w:val="231F20"/>
          <w:sz w:val="16"/>
        </w:rPr>
        <w:t>, Fla. L. Weekly 94, at *1.</w:t>
      </w:r>
    </w:p>
    <w:p>
      <w:pPr>
        <w:spacing w:before="49"/>
        <w:ind w:left="120" w:right="0" w:firstLine="0"/>
        <w:jc w:val="left"/>
        <w:rPr>
          <w:i/>
          <w:sz w:val="16"/>
        </w:rPr>
      </w:pPr>
      <w:r>
        <w:rPr>
          <w:color w:val="231F20"/>
          <w:w w:val="105"/>
          <w:position w:val="5"/>
          <w:sz w:val="9"/>
        </w:rPr>
        <w:t>9 </w:t>
      </w:r>
      <w:r>
        <w:rPr>
          <w:i/>
          <w:color w:val="231F20"/>
          <w:w w:val="105"/>
          <w:sz w:val="16"/>
        </w:rPr>
        <w:t>Id.</w:t>
      </w:r>
    </w:p>
    <w:p>
      <w:pPr>
        <w:spacing w:before="50"/>
        <w:ind w:left="120" w:right="0" w:firstLine="0"/>
        <w:jc w:val="left"/>
        <w:rPr>
          <w:sz w:val="16"/>
        </w:rPr>
      </w:pPr>
      <w:r>
        <w:rPr>
          <w:color w:val="231F20"/>
          <w:position w:val="5"/>
          <w:sz w:val="9"/>
        </w:rPr>
        <w:t>10 </w:t>
      </w:r>
      <w:r>
        <w:rPr>
          <w:i/>
          <w:color w:val="231F20"/>
          <w:sz w:val="16"/>
        </w:rPr>
        <w:t>Id. </w:t>
      </w:r>
      <w:r>
        <w:rPr>
          <w:color w:val="231F20"/>
          <w:sz w:val="16"/>
        </w:rPr>
        <w:t>at *1–2.</w:t>
      </w:r>
    </w:p>
    <w:p>
      <w:pPr>
        <w:spacing w:before="50"/>
        <w:ind w:left="120" w:right="0" w:firstLine="0"/>
        <w:jc w:val="left"/>
        <w:rPr>
          <w:sz w:val="16"/>
        </w:rPr>
      </w:pPr>
      <w:r>
        <w:rPr>
          <w:color w:val="231F20"/>
          <w:position w:val="5"/>
          <w:sz w:val="9"/>
        </w:rPr>
        <w:t>11 </w:t>
      </w:r>
      <w:r>
        <w:rPr>
          <w:i/>
          <w:color w:val="231F20"/>
          <w:sz w:val="16"/>
        </w:rPr>
        <w:t>Id. </w:t>
      </w:r>
      <w:r>
        <w:rPr>
          <w:color w:val="231F20"/>
          <w:sz w:val="16"/>
        </w:rPr>
        <w:t>at *2.</w:t>
      </w:r>
    </w:p>
    <w:p>
      <w:pPr>
        <w:spacing w:before="66"/>
        <w:ind w:left="120" w:right="0" w:firstLine="0"/>
        <w:jc w:val="left"/>
        <w:rPr>
          <w:i/>
          <w:sz w:val="16"/>
        </w:rPr>
      </w:pPr>
      <w:r>
        <w:rPr/>
        <w:br w:type="column"/>
      </w:r>
      <w:r>
        <w:rPr>
          <w:color w:val="231F20"/>
          <w:w w:val="105"/>
          <w:position w:val="5"/>
          <w:sz w:val="9"/>
        </w:rPr>
        <w:t>12 </w:t>
      </w:r>
      <w:r>
        <w:rPr>
          <w:i/>
          <w:color w:val="231F20"/>
          <w:w w:val="105"/>
          <w:sz w:val="16"/>
        </w:rPr>
        <w:t>Id.</w:t>
      </w:r>
    </w:p>
    <w:p>
      <w:pPr>
        <w:spacing w:before="56"/>
        <w:ind w:left="120" w:right="0" w:firstLine="0"/>
        <w:jc w:val="left"/>
        <w:rPr>
          <w:sz w:val="16"/>
        </w:rPr>
      </w:pPr>
      <w:r>
        <w:rPr>
          <w:color w:val="231F20"/>
          <w:position w:val="5"/>
          <w:sz w:val="9"/>
        </w:rPr>
        <w:t>13 </w:t>
      </w:r>
      <w:r>
        <w:rPr>
          <w:color w:val="231F20"/>
          <w:sz w:val="16"/>
        </w:rPr>
        <w:t>Rule 1.080 governs the service and filing of</w:t>
      </w:r>
    </w:p>
    <w:p>
      <w:pPr>
        <w:spacing w:before="15"/>
        <w:ind w:left="120" w:right="0" w:firstLine="0"/>
        <w:jc w:val="left"/>
        <w:rPr>
          <w:sz w:val="16"/>
        </w:rPr>
      </w:pPr>
      <w:r>
        <w:rPr>
          <w:color w:val="231F20"/>
          <w:sz w:val="16"/>
        </w:rPr>
        <w:t>“pleadings, orders, and documents.”</w:t>
      </w:r>
    </w:p>
    <w:p>
      <w:pPr>
        <w:spacing w:before="56"/>
        <w:ind w:left="120" w:right="0" w:firstLine="0"/>
        <w:jc w:val="left"/>
        <w:rPr>
          <w:sz w:val="16"/>
        </w:rPr>
      </w:pPr>
      <w:r>
        <w:rPr>
          <w:color w:val="231F20"/>
          <w:position w:val="5"/>
          <w:sz w:val="9"/>
        </w:rPr>
        <w:t>14 </w:t>
      </w:r>
      <w:r>
        <w:rPr>
          <w:i/>
          <w:color w:val="231F20"/>
          <w:sz w:val="16"/>
        </w:rPr>
        <w:t>Wheaton, </w:t>
      </w:r>
      <w:r>
        <w:rPr>
          <w:color w:val="231F20"/>
          <w:sz w:val="16"/>
        </w:rPr>
        <w:t>Fla. L. Weekly 94, at *2.</w:t>
      </w:r>
    </w:p>
    <w:p>
      <w:pPr>
        <w:spacing w:line="259" w:lineRule="auto" w:before="56"/>
        <w:ind w:left="120" w:right="0" w:firstLine="0"/>
        <w:jc w:val="left"/>
        <w:rPr>
          <w:sz w:val="16"/>
        </w:rPr>
      </w:pPr>
      <w:r>
        <w:rPr>
          <w:color w:val="231F20"/>
          <w:position w:val="5"/>
          <w:sz w:val="9"/>
        </w:rPr>
        <w:t>15 </w:t>
      </w:r>
      <w:r>
        <w:rPr>
          <w:i/>
          <w:color w:val="231F20"/>
          <w:sz w:val="16"/>
        </w:rPr>
        <w:t>Id. </w:t>
      </w:r>
      <w:r>
        <w:rPr>
          <w:color w:val="231F20"/>
          <w:sz w:val="16"/>
        </w:rPr>
        <w:t>at 3 (quotations omitted) (quoting </w:t>
      </w:r>
      <w:r>
        <w:rPr>
          <w:i/>
          <w:color w:val="231F20"/>
          <w:sz w:val="16"/>
        </w:rPr>
        <w:t>Whea- </w:t>
      </w:r>
      <w:r>
        <w:rPr>
          <w:i/>
          <w:color w:val="231F20"/>
          <w:sz w:val="16"/>
        </w:rPr>
        <w:t>ton</w:t>
      </w:r>
      <w:r>
        <w:rPr>
          <w:color w:val="231F20"/>
          <w:sz w:val="16"/>
        </w:rPr>
        <w:t>, 217 So. 3d at 127).</w:t>
      </w:r>
    </w:p>
    <w:p>
      <w:pPr>
        <w:spacing w:before="41"/>
        <w:ind w:left="120" w:right="0" w:firstLine="0"/>
        <w:jc w:val="left"/>
        <w:rPr>
          <w:sz w:val="16"/>
        </w:rPr>
      </w:pPr>
      <w:r>
        <w:rPr>
          <w:color w:val="231F20"/>
          <w:position w:val="5"/>
          <w:sz w:val="9"/>
        </w:rPr>
        <w:t>16 </w:t>
      </w:r>
      <w:r>
        <w:rPr>
          <w:color w:val="231F20"/>
          <w:sz w:val="16"/>
        </w:rPr>
        <w:t>Fla. R. Jud. Admin. 2.516(a).</w:t>
      </w:r>
    </w:p>
    <w:p>
      <w:pPr>
        <w:spacing w:before="56"/>
        <w:ind w:left="120" w:right="0" w:firstLine="0"/>
        <w:jc w:val="left"/>
        <w:rPr>
          <w:sz w:val="16"/>
        </w:rPr>
      </w:pPr>
      <w:r>
        <w:rPr>
          <w:color w:val="231F20"/>
          <w:position w:val="5"/>
          <w:sz w:val="9"/>
        </w:rPr>
        <w:t>17 </w:t>
      </w:r>
      <w:r>
        <w:rPr>
          <w:i/>
          <w:color w:val="231F20"/>
          <w:sz w:val="16"/>
        </w:rPr>
        <w:t>Wheaton</w:t>
      </w:r>
      <w:r>
        <w:rPr>
          <w:color w:val="231F20"/>
          <w:sz w:val="16"/>
        </w:rPr>
        <w:t>, Fla. L. Weekly 94, at *3 (citing</w:t>
      </w:r>
    </w:p>
    <w:p>
      <w:pPr>
        <w:spacing w:before="15"/>
        <w:ind w:left="120" w:right="0" w:firstLine="0"/>
        <w:jc w:val="left"/>
        <w:rPr>
          <w:sz w:val="16"/>
        </w:rPr>
      </w:pPr>
      <w:r>
        <w:rPr>
          <w:i/>
          <w:color w:val="231F20"/>
          <w:sz w:val="16"/>
        </w:rPr>
        <w:t>Wheaton</w:t>
      </w:r>
      <w:r>
        <w:rPr>
          <w:color w:val="231F20"/>
          <w:sz w:val="16"/>
        </w:rPr>
        <w:t>, 217 So. 3d at 127).</w:t>
      </w:r>
    </w:p>
    <w:p>
      <w:pPr>
        <w:spacing w:line="259" w:lineRule="auto" w:before="56"/>
        <w:ind w:left="120" w:right="0" w:firstLine="0"/>
        <w:jc w:val="left"/>
        <w:rPr>
          <w:sz w:val="16"/>
        </w:rPr>
      </w:pPr>
      <w:r>
        <w:rPr>
          <w:color w:val="231F20"/>
          <w:position w:val="5"/>
          <w:sz w:val="9"/>
        </w:rPr>
        <w:t>18 </w:t>
      </w:r>
      <w:r>
        <w:rPr>
          <w:i/>
          <w:color w:val="231F20"/>
          <w:sz w:val="16"/>
        </w:rPr>
        <w:t>Id. </w:t>
      </w:r>
      <w:r>
        <w:rPr>
          <w:color w:val="231F20"/>
          <w:sz w:val="16"/>
        </w:rPr>
        <w:t>at *3–4 (quoting </w:t>
      </w:r>
      <w:r>
        <w:rPr>
          <w:i/>
          <w:color w:val="231F20"/>
          <w:sz w:val="16"/>
        </w:rPr>
        <w:t>Wheaton</w:t>
      </w:r>
      <w:r>
        <w:rPr>
          <w:color w:val="231F20"/>
          <w:sz w:val="16"/>
        </w:rPr>
        <w:t>, 217 So. 3d at 127–28).</w:t>
      </w:r>
    </w:p>
    <w:p>
      <w:pPr>
        <w:spacing w:before="42"/>
        <w:ind w:left="120" w:right="0" w:firstLine="0"/>
        <w:jc w:val="left"/>
        <w:rPr>
          <w:sz w:val="16"/>
        </w:rPr>
      </w:pPr>
      <w:r>
        <w:rPr>
          <w:color w:val="231F20"/>
          <w:position w:val="5"/>
          <w:sz w:val="9"/>
        </w:rPr>
        <w:t>19 </w:t>
      </w:r>
      <w:r>
        <w:rPr>
          <w:color w:val="231F20"/>
          <w:sz w:val="16"/>
        </w:rPr>
        <w:t>202 So. 3d 391 (Fla. 2016).</w:t>
      </w:r>
    </w:p>
    <w:p>
      <w:pPr>
        <w:spacing w:before="66"/>
        <w:ind w:left="120" w:right="0" w:firstLine="0"/>
        <w:jc w:val="left"/>
        <w:rPr>
          <w:sz w:val="16"/>
        </w:rPr>
      </w:pPr>
      <w:r>
        <w:rPr/>
        <w:br w:type="column"/>
      </w:r>
      <w:r>
        <w:rPr>
          <w:color w:val="231F20"/>
          <w:position w:val="5"/>
          <w:sz w:val="9"/>
        </w:rPr>
        <w:t>20 </w:t>
      </w:r>
      <w:r>
        <w:rPr>
          <w:i/>
          <w:color w:val="231F20"/>
          <w:sz w:val="16"/>
        </w:rPr>
        <w:t>Wheaton</w:t>
      </w:r>
      <w:r>
        <w:rPr>
          <w:color w:val="231F20"/>
          <w:sz w:val="16"/>
        </w:rPr>
        <w:t>, Fla. L. Weekly 94, at *4.</w:t>
      </w:r>
    </w:p>
    <w:p>
      <w:pPr>
        <w:spacing w:before="39"/>
        <w:ind w:left="120" w:right="0" w:firstLine="0"/>
        <w:jc w:val="left"/>
        <w:rPr>
          <w:i/>
          <w:sz w:val="16"/>
        </w:rPr>
      </w:pPr>
      <w:r>
        <w:rPr>
          <w:color w:val="231F20"/>
          <w:w w:val="105"/>
          <w:position w:val="5"/>
          <w:sz w:val="9"/>
        </w:rPr>
        <w:t>21   </w:t>
      </w:r>
      <w:r>
        <w:rPr>
          <w:color w:val="231F20"/>
          <w:spacing w:val="19"/>
          <w:w w:val="105"/>
          <w:position w:val="5"/>
          <w:sz w:val="9"/>
        </w:rPr>
        <w:t> </w:t>
      </w:r>
      <w:r>
        <w:rPr>
          <w:i/>
          <w:color w:val="231F20"/>
          <w:w w:val="105"/>
          <w:sz w:val="16"/>
        </w:rPr>
        <w:t>Id.</w:t>
      </w:r>
    </w:p>
    <w:p>
      <w:pPr>
        <w:spacing w:before="39"/>
        <w:ind w:left="120" w:right="0" w:firstLine="0"/>
        <w:jc w:val="left"/>
        <w:rPr>
          <w:i/>
          <w:sz w:val="16"/>
        </w:rPr>
      </w:pPr>
      <w:r>
        <w:rPr>
          <w:color w:val="231F20"/>
          <w:w w:val="105"/>
          <w:position w:val="5"/>
          <w:sz w:val="9"/>
        </w:rPr>
        <w:t>22   </w:t>
      </w:r>
      <w:r>
        <w:rPr>
          <w:color w:val="231F20"/>
          <w:spacing w:val="19"/>
          <w:w w:val="105"/>
          <w:position w:val="5"/>
          <w:sz w:val="9"/>
        </w:rPr>
        <w:t> </w:t>
      </w:r>
      <w:r>
        <w:rPr>
          <w:i/>
          <w:color w:val="231F20"/>
          <w:w w:val="105"/>
          <w:sz w:val="16"/>
        </w:rPr>
        <w:t>Id.</w:t>
      </w:r>
    </w:p>
    <w:p>
      <w:pPr>
        <w:spacing w:before="39"/>
        <w:ind w:left="120" w:right="10" w:firstLine="0"/>
        <w:jc w:val="left"/>
        <w:rPr>
          <w:sz w:val="16"/>
        </w:rPr>
      </w:pPr>
      <w:r>
        <w:rPr>
          <w:color w:val="231F20"/>
          <w:position w:val="5"/>
          <w:sz w:val="9"/>
        </w:rPr>
        <w:t>23</w:t>
      </w:r>
      <w:r>
        <w:rPr>
          <w:color w:val="231F20"/>
          <w:spacing w:val="15"/>
          <w:position w:val="5"/>
          <w:sz w:val="9"/>
        </w:rPr>
        <w:t> </w:t>
      </w:r>
      <w:r>
        <w:rPr>
          <w:i/>
          <w:color w:val="231F20"/>
          <w:sz w:val="16"/>
        </w:rPr>
        <w:t>Id. </w:t>
      </w:r>
      <w:r>
        <w:rPr>
          <w:color w:val="231F20"/>
          <w:sz w:val="16"/>
        </w:rPr>
        <w:t>at *5 (citing </w:t>
      </w:r>
      <w:r>
        <w:rPr>
          <w:i/>
          <w:color w:val="231F20"/>
          <w:sz w:val="16"/>
        </w:rPr>
        <w:t>Willis Shaw Exp., Inc. </w:t>
      </w:r>
      <w:r>
        <w:rPr>
          <w:i/>
          <w:color w:val="231F20"/>
          <w:spacing w:val="-6"/>
          <w:sz w:val="16"/>
        </w:rPr>
        <w:t>v. </w:t>
      </w:r>
      <w:r>
        <w:rPr>
          <w:i/>
          <w:color w:val="231F20"/>
          <w:sz w:val="16"/>
        </w:rPr>
        <w:t>Hilyer </w:t>
      </w:r>
      <w:r>
        <w:rPr>
          <w:i/>
          <w:color w:val="231F20"/>
          <w:sz w:val="16"/>
        </w:rPr>
        <w:t>Sod, Inc.</w:t>
      </w:r>
      <w:r>
        <w:rPr>
          <w:color w:val="231F20"/>
          <w:sz w:val="16"/>
        </w:rPr>
        <w:t>, 849 So. 2d 276, 278 (Fla.</w:t>
      </w:r>
      <w:r>
        <w:rPr>
          <w:color w:val="231F20"/>
          <w:spacing w:val="-13"/>
          <w:sz w:val="16"/>
        </w:rPr>
        <w:t> </w:t>
      </w:r>
      <w:r>
        <w:rPr>
          <w:color w:val="231F20"/>
          <w:sz w:val="16"/>
        </w:rPr>
        <w:t>2003)).</w:t>
      </w:r>
    </w:p>
    <w:p>
      <w:pPr>
        <w:spacing w:before="37"/>
        <w:ind w:left="120" w:right="0" w:firstLine="0"/>
        <w:jc w:val="left"/>
        <w:rPr>
          <w:sz w:val="16"/>
        </w:rPr>
      </w:pPr>
      <w:r>
        <w:rPr>
          <w:color w:val="231F20"/>
          <w:position w:val="5"/>
          <w:sz w:val="9"/>
        </w:rPr>
        <w:t>24     </w:t>
      </w:r>
      <w:r>
        <w:rPr>
          <w:i/>
          <w:color w:val="231F20"/>
          <w:sz w:val="16"/>
        </w:rPr>
        <w:t>Id. </w:t>
      </w:r>
      <w:r>
        <w:rPr>
          <w:color w:val="231F20"/>
          <w:sz w:val="16"/>
        </w:rPr>
        <w:t>(citing § 768.79(3), Fla. Stat.</w:t>
      </w:r>
      <w:r>
        <w:rPr>
          <w:color w:val="231F20"/>
          <w:spacing w:val="2"/>
          <w:sz w:val="16"/>
        </w:rPr>
        <w:t> </w:t>
      </w:r>
      <w:r>
        <w:rPr>
          <w:color w:val="231F20"/>
          <w:sz w:val="16"/>
        </w:rPr>
        <w:t>(2018)).</w:t>
      </w:r>
    </w:p>
    <w:p>
      <w:pPr>
        <w:spacing w:before="39"/>
        <w:ind w:left="120" w:right="300" w:firstLine="0"/>
        <w:jc w:val="both"/>
        <w:rPr>
          <w:sz w:val="16"/>
        </w:rPr>
      </w:pPr>
      <w:r>
        <w:rPr>
          <w:color w:val="231F20"/>
          <w:position w:val="5"/>
          <w:sz w:val="9"/>
        </w:rPr>
        <w:t>25 </w:t>
      </w:r>
      <w:r>
        <w:rPr>
          <w:i/>
          <w:color w:val="231F20"/>
          <w:sz w:val="16"/>
        </w:rPr>
        <w:t>Id. </w:t>
      </w:r>
      <w:r>
        <w:rPr>
          <w:color w:val="231F20"/>
          <w:sz w:val="16"/>
        </w:rPr>
        <w:t>(quotations omitted) (citing § 768.79(3), Fla. Stat.).</w:t>
      </w:r>
    </w:p>
    <w:p>
      <w:pPr>
        <w:spacing w:before="38"/>
        <w:ind w:left="120" w:right="0" w:firstLine="0"/>
        <w:jc w:val="both"/>
        <w:rPr>
          <w:sz w:val="16"/>
        </w:rPr>
      </w:pPr>
      <w:r>
        <w:rPr>
          <w:color w:val="231F20"/>
          <w:position w:val="5"/>
          <w:sz w:val="9"/>
        </w:rPr>
        <w:t>26 </w:t>
      </w:r>
      <w:r>
        <w:rPr>
          <w:i/>
          <w:color w:val="231F20"/>
          <w:sz w:val="16"/>
        </w:rPr>
        <w:t>Id. </w:t>
      </w:r>
      <w:r>
        <w:rPr>
          <w:color w:val="231F20"/>
          <w:sz w:val="16"/>
        </w:rPr>
        <w:t>at *6 (quoting Fla. R. App. P. 1.442(c)(2)).</w:t>
      </w:r>
    </w:p>
    <w:p>
      <w:pPr>
        <w:spacing w:before="39"/>
        <w:ind w:left="120" w:right="298" w:firstLine="0"/>
        <w:jc w:val="both"/>
        <w:rPr>
          <w:sz w:val="16"/>
        </w:rPr>
      </w:pPr>
      <w:r>
        <w:rPr>
          <w:color w:val="231F20"/>
          <w:position w:val="5"/>
          <w:sz w:val="9"/>
        </w:rPr>
        <w:t>27</w:t>
      </w:r>
      <w:r>
        <w:rPr>
          <w:color w:val="231F20"/>
          <w:spacing w:val="23"/>
          <w:position w:val="5"/>
          <w:sz w:val="9"/>
        </w:rPr>
        <w:t> </w:t>
      </w:r>
      <w:r>
        <w:rPr>
          <w:i/>
          <w:color w:val="231F20"/>
          <w:sz w:val="16"/>
        </w:rPr>
        <w:t>Id.</w:t>
      </w:r>
      <w:r>
        <w:rPr>
          <w:i/>
          <w:color w:val="231F20"/>
          <w:spacing w:val="-23"/>
          <w:sz w:val="16"/>
        </w:rPr>
        <w:t> </w:t>
      </w:r>
      <w:r>
        <w:rPr>
          <w:color w:val="231F20"/>
          <w:sz w:val="16"/>
        </w:rPr>
        <w:t>(quotations</w:t>
      </w:r>
      <w:r>
        <w:rPr>
          <w:color w:val="231F20"/>
          <w:spacing w:val="-23"/>
          <w:sz w:val="16"/>
        </w:rPr>
        <w:t> </w:t>
      </w:r>
      <w:r>
        <w:rPr>
          <w:color w:val="231F20"/>
          <w:sz w:val="16"/>
        </w:rPr>
        <w:t>omitted)</w:t>
      </w:r>
      <w:r>
        <w:rPr>
          <w:color w:val="231F20"/>
          <w:spacing w:val="-23"/>
          <w:sz w:val="16"/>
        </w:rPr>
        <w:t> </w:t>
      </w:r>
      <w:r>
        <w:rPr>
          <w:color w:val="231F20"/>
          <w:sz w:val="16"/>
        </w:rPr>
        <w:t>(quoting</w:t>
      </w:r>
      <w:r>
        <w:rPr>
          <w:color w:val="231F20"/>
          <w:spacing w:val="-22"/>
          <w:sz w:val="16"/>
        </w:rPr>
        <w:t> </w:t>
      </w:r>
      <w:r>
        <w:rPr>
          <w:color w:val="231F20"/>
          <w:sz w:val="16"/>
        </w:rPr>
        <w:t>Fla.</w:t>
      </w:r>
      <w:r>
        <w:rPr>
          <w:color w:val="231F20"/>
          <w:spacing w:val="-24"/>
          <w:sz w:val="16"/>
        </w:rPr>
        <w:t> </w:t>
      </w:r>
      <w:r>
        <w:rPr>
          <w:color w:val="231F20"/>
          <w:sz w:val="16"/>
        </w:rPr>
        <w:t>R.</w:t>
      </w:r>
      <w:r>
        <w:rPr>
          <w:color w:val="231F20"/>
          <w:spacing w:val="-29"/>
          <w:sz w:val="16"/>
        </w:rPr>
        <w:t> </w:t>
      </w:r>
      <w:r>
        <w:rPr>
          <w:color w:val="231F20"/>
          <w:sz w:val="16"/>
        </w:rPr>
        <w:t>App.</w:t>
      </w:r>
      <w:r>
        <w:rPr>
          <w:color w:val="231F20"/>
          <w:spacing w:val="-24"/>
          <w:sz w:val="16"/>
        </w:rPr>
        <w:t> </w:t>
      </w:r>
      <w:r>
        <w:rPr>
          <w:color w:val="231F20"/>
          <w:spacing w:val="-12"/>
          <w:sz w:val="16"/>
        </w:rPr>
        <w:t>P. </w:t>
      </w:r>
      <w:r>
        <w:rPr>
          <w:color w:val="231F20"/>
          <w:sz w:val="16"/>
        </w:rPr>
        <w:t>1.442(d)).</w:t>
      </w:r>
    </w:p>
    <w:p>
      <w:pPr>
        <w:spacing w:before="37"/>
        <w:ind w:left="120" w:right="297" w:firstLine="0"/>
        <w:jc w:val="both"/>
        <w:rPr>
          <w:sz w:val="16"/>
        </w:rPr>
      </w:pPr>
      <w:r>
        <w:rPr/>
        <w:pict>
          <v:line style="position:absolute;mso-position-horizontal-relative:page;mso-position-vertical-relative:paragraph;z-index:251778048" from="42pt,37.97683pt" to="391pt,37.97683pt" stroked="true" strokeweight="3pt" strokecolor="#c7c8ca">
            <v:stroke dashstyle="solid"/>
            <w10:wrap type="none"/>
          </v:line>
        </w:pict>
      </w:r>
      <w:r>
        <w:rPr>
          <w:color w:val="231F20"/>
          <w:position w:val="5"/>
          <w:sz w:val="9"/>
        </w:rPr>
        <w:t>28 </w:t>
      </w:r>
      <w:r>
        <w:rPr>
          <w:i/>
          <w:color w:val="231F20"/>
          <w:sz w:val="16"/>
        </w:rPr>
        <w:t>Id</w:t>
      </w:r>
      <w:r>
        <w:rPr>
          <w:color w:val="231F20"/>
          <w:sz w:val="16"/>
        </w:rPr>
        <w:t>. A certificate of service provision of rule 1.080(f) was removed in 2012 when rule 2.516 was adopted. </w:t>
      </w:r>
      <w:r>
        <w:rPr>
          <w:i/>
          <w:color w:val="231F20"/>
          <w:sz w:val="16"/>
        </w:rPr>
        <w:t>See In re Amend. to Fla. Rules of </w:t>
      </w:r>
      <w:r>
        <w:rPr>
          <w:i/>
          <w:color w:val="231F20"/>
          <w:sz w:val="16"/>
        </w:rPr>
        <w:t>Jud. Admin.</w:t>
      </w:r>
      <w:r>
        <w:rPr>
          <w:color w:val="231F20"/>
          <w:sz w:val="16"/>
        </w:rPr>
        <w:t>, 102 So. 3d 505, 510 (Fla. 2012).</w:t>
      </w:r>
    </w:p>
    <w:p>
      <w:pPr>
        <w:spacing w:before="36"/>
        <w:ind w:left="120" w:right="298" w:firstLine="0"/>
        <w:jc w:val="both"/>
        <w:rPr>
          <w:sz w:val="16"/>
        </w:rPr>
      </w:pPr>
      <w:r>
        <w:rPr/>
        <w:pict>
          <v:group style="position:absolute;margin-left:42pt;margin-top:17.562195pt;width:348pt;height:520.8pt;mso-position-horizontal-relative:page;mso-position-vertical-relative:paragraph;z-index:251781120" coordorigin="840,351" coordsize="6960,10416">
            <v:rect style="position:absolute;left:840;top:351;width:6960;height:10416" filled="true" fillcolor="#348dcc" stroked="false">
              <v:fill type="solid"/>
            </v:rect>
            <v:rect style="position:absolute;left:1383;top:1742;width:5874;height:7050" filled="true" fillcolor="#ffffff" stroked="false">
              <v:fill type="solid"/>
            </v:rect>
            <v:rect style="position:absolute;left:1383;top:1742;width:5874;height:7050" filled="false" stroked="true" strokeweight="1.5pt" strokecolor="#348dcc">
              <v:stroke dashstyle="solid"/>
            </v:rect>
            <v:shape style="position:absolute;left:1650;top:9359;width:1740;height:840" type="#_x0000_t75" stroked="false">
              <v:imagedata r:id="rId81" o:title=""/>
            </v:shape>
            <v:shape style="position:absolute;left:5517;top:9178;width:1201;height:1201" type="#_x0000_t75" stroked="false">
              <v:imagedata r:id="rId82" o:title=""/>
            </v:shape>
            <v:shape style="position:absolute;left:840;top:351;width:6960;height:10416" type="#_x0000_t202" filled="false" stroked="false">
              <v:textbox inset="0,0,0,0">
                <w:txbxContent>
                  <w:p>
                    <w:pPr>
                      <w:spacing w:before="295"/>
                      <w:ind w:left="389" w:right="0" w:firstLine="0"/>
                      <w:jc w:val="left"/>
                      <w:rPr>
                        <w:sz w:val="54"/>
                      </w:rPr>
                    </w:pPr>
                    <w:hyperlink r:id="rId83">
                      <w:r>
                        <w:rPr>
                          <w:color w:val="FFF200"/>
                          <w:w w:val="65"/>
                          <w:sz w:val="54"/>
                        </w:rPr>
                        <w:t>Register now for the next Audio Webcast!</w:t>
                      </w:r>
                    </w:hyperlink>
                  </w:p>
                </w:txbxContent>
              </v:textbox>
              <w10:wrap type="none"/>
            </v:shape>
            <v:shape style="position:absolute;left:1383;top:1742;width:5874;height:7050" type="#_x0000_t202" filled="false" stroked="false">
              <v:textbox inset="0,0,0,0">
                <w:txbxContent>
                  <w:p>
                    <w:pPr>
                      <w:spacing w:line="290" w:lineRule="auto" w:before="394"/>
                      <w:ind w:left="856" w:right="854" w:firstLine="0"/>
                      <w:jc w:val="center"/>
                      <w:rPr>
                        <w:b/>
                        <w:sz w:val="48"/>
                      </w:rPr>
                    </w:pPr>
                    <w:hyperlink r:id="rId83">
                      <w:r>
                        <w:rPr>
                          <w:b/>
                          <w:color w:val="231F20"/>
                          <w:sz w:val="48"/>
                        </w:rPr>
                        <w:t>Update on Gender Discrimination: The New Gender Equality (2883)</w:t>
                      </w:r>
                    </w:hyperlink>
                  </w:p>
                  <w:p>
                    <w:pPr>
                      <w:spacing w:line="240" w:lineRule="auto" w:before="6"/>
                      <w:rPr>
                        <w:sz w:val="59"/>
                      </w:rPr>
                    </w:pPr>
                  </w:p>
                  <w:p>
                    <w:pPr>
                      <w:spacing w:before="0"/>
                      <w:ind w:left="854" w:right="854" w:firstLine="0"/>
                      <w:jc w:val="center"/>
                      <w:rPr>
                        <w:b/>
                        <w:sz w:val="40"/>
                      </w:rPr>
                    </w:pPr>
                    <w:hyperlink r:id="rId83">
                      <w:r>
                        <w:rPr>
                          <w:b/>
                          <w:color w:val="231F20"/>
                          <w:sz w:val="40"/>
                        </w:rPr>
                        <w:t>June 5, 2019</w:t>
                      </w:r>
                    </w:hyperlink>
                  </w:p>
                  <w:p>
                    <w:pPr>
                      <w:spacing w:before="180"/>
                      <w:ind w:left="854" w:right="854" w:firstLine="0"/>
                      <w:jc w:val="center"/>
                      <w:rPr>
                        <w:b/>
                        <w:sz w:val="26"/>
                      </w:rPr>
                    </w:pPr>
                    <w:hyperlink r:id="rId83">
                      <w:r>
                        <w:rPr>
                          <w:b/>
                          <w:color w:val="231F20"/>
                          <w:sz w:val="26"/>
                        </w:rPr>
                        <w:t>12:00 noon - 12:50 p.m.</w:t>
                      </w:r>
                    </w:hyperlink>
                  </w:p>
                  <w:p>
                    <w:pPr>
                      <w:spacing w:line="240" w:lineRule="auto" w:before="0"/>
                      <w:rPr>
                        <w:sz w:val="28"/>
                      </w:rPr>
                    </w:pPr>
                  </w:p>
                  <w:p>
                    <w:pPr>
                      <w:spacing w:line="240" w:lineRule="auto" w:before="11"/>
                      <w:rPr>
                        <w:sz w:val="28"/>
                      </w:rPr>
                    </w:pPr>
                  </w:p>
                  <w:p>
                    <w:pPr>
                      <w:spacing w:before="0"/>
                      <w:ind w:left="854" w:right="854" w:firstLine="0"/>
                      <w:jc w:val="center"/>
                      <w:rPr>
                        <w:sz w:val="22"/>
                      </w:rPr>
                    </w:pPr>
                    <w:hyperlink r:id="rId83">
                      <w:r>
                        <w:rPr>
                          <w:color w:val="231F20"/>
                          <w:sz w:val="22"/>
                        </w:rPr>
                        <w:t>Presented by</w:t>
                      </w:r>
                    </w:hyperlink>
                  </w:p>
                  <w:p>
                    <w:pPr>
                      <w:spacing w:line="254" w:lineRule="auto" w:before="75"/>
                      <w:ind w:left="445" w:right="444" w:firstLine="0"/>
                      <w:jc w:val="center"/>
                      <w:rPr>
                        <w:sz w:val="22"/>
                      </w:rPr>
                    </w:pPr>
                    <w:hyperlink r:id="rId83">
                      <w:r>
                        <w:rPr>
                          <w:color w:val="231F20"/>
                          <w:sz w:val="22"/>
                        </w:rPr>
                        <w:t>Lindsey Wagner, Scott Wagner &amp; Associates, P.A., Jupiter, FL and Burbank, CA</w:t>
                      </w:r>
                    </w:hyperlink>
                  </w:p>
                  <w:p>
                    <w:pPr>
                      <w:spacing w:before="140"/>
                      <w:ind w:left="444" w:right="444" w:firstLine="0"/>
                      <w:jc w:val="center"/>
                      <w:rPr>
                        <w:sz w:val="22"/>
                      </w:rPr>
                    </w:pPr>
                    <w:hyperlink r:id="rId83">
                      <w:r>
                        <w:rPr>
                          <w:color w:val="231F20"/>
                          <w:sz w:val="22"/>
                        </w:rPr>
                        <w:t>Jon Harris Maurer, Equality Florida, Tallahassee</w:t>
                      </w:r>
                    </w:hyperlink>
                  </w:p>
                </w:txbxContent>
              </v:textbox>
              <w10:wrap type="none"/>
            </v:shape>
            <w10:wrap type="none"/>
          </v:group>
        </w:pict>
      </w:r>
      <w:r>
        <w:rPr>
          <w:color w:val="231F20"/>
          <w:position w:val="5"/>
          <w:sz w:val="9"/>
        </w:rPr>
        <w:t>29 </w:t>
      </w:r>
      <w:r>
        <w:rPr>
          <w:i/>
          <w:color w:val="231F20"/>
          <w:sz w:val="16"/>
        </w:rPr>
        <w:t>Wheaton</w:t>
      </w:r>
      <w:r>
        <w:rPr>
          <w:color w:val="231F20"/>
          <w:sz w:val="16"/>
        </w:rPr>
        <w:t>, Fla. L. Weekly 94, at *6–7 (quoting Fla. R. Civ. P. 1.080(a)).</w:t>
      </w:r>
    </w:p>
    <w:p>
      <w:pPr>
        <w:spacing w:before="37"/>
        <w:ind w:left="120" w:right="288" w:firstLine="0"/>
        <w:jc w:val="both"/>
        <w:rPr>
          <w:sz w:val="16"/>
        </w:rPr>
      </w:pPr>
      <w:r>
        <w:rPr>
          <w:color w:val="231F20"/>
          <w:position w:val="5"/>
          <w:sz w:val="9"/>
        </w:rPr>
        <w:t>30 </w:t>
      </w:r>
      <w:r>
        <w:rPr>
          <w:i/>
          <w:color w:val="231F20"/>
          <w:sz w:val="16"/>
        </w:rPr>
        <w:t>Id. </w:t>
      </w:r>
      <w:r>
        <w:rPr>
          <w:color w:val="231F20"/>
          <w:sz w:val="16"/>
        </w:rPr>
        <w:t>at *7 (quoting Fla. R. Jud. Admin.</w:t>
      </w:r>
      <w:bookmarkStart w:name="_bookmark6" w:id="7"/>
      <w:bookmarkEnd w:id="7"/>
      <w:r>
        <w:rPr>
          <w:color w:val="231F20"/>
          <w:sz w:val="16"/>
        </w:rPr>
      </w:r>
      <w:r>
        <w:rPr>
          <w:color w:val="231F20"/>
          <w:sz w:val="16"/>
        </w:rPr>
        <w:t> 2.516(a)).</w:t>
      </w:r>
    </w:p>
    <w:p>
      <w:pPr>
        <w:spacing w:before="38"/>
        <w:ind w:left="120" w:right="288" w:firstLine="0"/>
        <w:jc w:val="both"/>
        <w:rPr>
          <w:sz w:val="16"/>
        </w:rPr>
      </w:pPr>
      <w:r>
        <w:rPr>
          <w:color w:val="231F20"/>
          <w:position w:val="5"/>
          <w:sz w:val="9"/>
        </w:rPr>
        <w:t>31 </w:t>
      </w:r>
      <w:r>
        <w:rPr>
          <w:i/>
          <w:color w:val="231F20"/>
          <w:sz w:val="16"/>
        </w:rPr>
        <w:t>Id. </w:t>
      </w:r>
      <w:r>
        <w:rPr>
          <w:color w:val="231F20"/>
          <w:sz w:val="16"/>
        </w:rPr>
        <w:t>at *8 (quoting Fla. R. Jud. Admin. 2.516(b)(1)).</w:t>
      </w:r>
    </w:p>
    <w:p>
      <w:pPr>
        <w:spacing w:before="38"/>
        <w:ind w:left="120" w:right="0" w:firstLine="0"/>
        <w:jc w:val="both"/>
        <w:rPr>
          <w:sz w:val="16"/>
        </w:rPr>
      </w:pPr>
      <w:r>
        <w:rPr>
          <w:color w:val="231F20"/>
          <w:position w:val="5"/>
          <w:sz w:val="9"/>
        </w:rPr>
        <w:t>32 </w:t>
      </w:r>
      <w:r>
        <w:rPr>
          <w:i/>
          <w:color w:val="231F20"/>
          <w:sz w:val="16"/>
        </w:rPr>
        <w:t>Id. </w:t>
      </w:r>
      <w:r>
        <w:rPr>
          <w:color w:val="231F20"/>
          <w:sz w:val="16"/>
        </w:rPr>
        <w:t>(citing Fla. R. Jud. Admin. 2.516(b)(1)).</w:t>
      </w:r>
    </w:p>
    <w:p>
      <w:pPr>
        <w:spacing w:before="39"/>
        <w:ind w:left="120" w:right="0" w:firstLine="0"/>
        <w:jc w:val="both"/>
        <w:rPr>
          <w:sz w:val="16"/>
        </w:rPr>
      </w:pPr>
      <w:r>
        <w:rPr>
          <w:color w:val="231F20"/>
          <w:position w:val="5"/>
          <w:sz w:val="9"/>
        </w:rPr>
        <w:t>33 </w:t>
      </w:r>
      <w:r>
        <w:rPr>
          <w:i/>
          <w:color w:val="231F20"/>
          <w:sz w:val="16"/>
        </w:rPr>
        <w:t>Id. </w:t>
      </w:r>
      <w:r>
        <w:rPr>
          <w:color w:val="231F20"/>
          <w:sz w:val="16"/>
        </w:rPr>
        <w:t>at *9 (citing </w:t>
      </w:r>
      <w:r>
        <w:rPr>
          <w:i/>
          <w:color w:val="231F20"/>
          <w:sz w:val="16"/>
        </w:rPr>
        <w:t>Boatright</w:t>
      </w:r>
      <w:r>
        <w:rPr>
          <w:color w:val="231F20"/>
          <w:sz w:val="16"/>
        </w:rPr>
        <w:t>, 218 So. 3d at 964).</w:t>
      </w:r>
    </w:p>
    <w:p>
      <w:pPr>
        <w:spacing w:before="38"/>
        <w:ind w:left="120" w:right="0" w:firstLine="0"/>
        <w:jc w:val="both"/>
        <w:rPr>
          <w:sz w:val="16"/>
        </w:rPr>
      </w:pPr>
      <w:r>
        <w:rPr>
          <w:color w:val="231F20"/>
          <w:position w:val="5"/>
          <w:sz w:val="9"/>
        </w:rPr>
        <w:t>34 </w:t>
      </w:r>
      <w:r>
        <w:rPr>
          <w:i/>
          <w:color w:val="231F20"/>
          <w:sz w:val="16"/>
        </w:rPr>
        <w:t>Id. </w:t>
      </w:r>
      <w:r>
        <w:rPr>
          <w:color w:val="231F20"/>
          <w:sz w:val="16"/>
        </w:rPr>
        <w:t>(citing </w:t>
      </w:r>
      <w:r>
        <w:rPr>
          <w:i/>
          <w:color w:val="231F20"/>
          <w:sz w:val="16"/>
        </w:rPr>
        <w:t>Boatright</w:t>
      </w:r>
      <w:r>
        <w:rPr>
          <w:color w:val="231F20"/>
          <w:sz w:val="16"/>
        </w:rPr>
        <w:t>, 218 So. 3d at 964).</w:t>
      </w:r>
    </w:p>
    <w:p>
      <w:pPr>
        <w:spacing w:before="39"/>
        <w:ind w:left="120" w:right="298" w:firstLine="0"/>
        <w:jc w:val="both"/>
        <w:rPr>
          <w:sz w:val="16"/>
        </w:rPr>
      </w:pPr>
      <w:r>
        <w:rPr>
          <w:color w:val="231F20"/>
          <w:position w:val="5"/>
          <w:sz w:val="9"/>
        </w:rPr>
        <w:t>35 </w:t>
      </w:r>
      <w:r>
        <w:rPr>
          <w:i/>
          <w:color w:val="231F20"/>
          <w:sz w:val="16"/>
        </w:rPr>
        <w:t>Id. </w:t>
      </w:r>
      <w:r>
        <w:rPr>
          <w:color w:val="231F20"/>
          <w:sz w:val="16"/>
        </w:rPr>
        <w:t>at *9–10 (citing </w:t>
      </w:r>
      <w:r>
        <w:rPr>
          <w:i/>
          <w:color w:val="231F20"/>
          <w:sz w:val="16"/>
        </w:rPr>
        <w:t>Boatright</w:t>
      </w:r>
      <w:r>
        <w:rPr>
          <w:color w:val="231F20"/>
          <w:sz w:val="16"/>
        </w:rPr>
        <w:t>, 218 So. 3d at 964).</w:t>
      </w:r>
    </w:p>
    <w:p>
      <w:pPr>
        <w:spacing w:before="38"/>
        <w:ind w:left="120" w:right="0" w:firstLine="0"/>
        <w:jc w:val="both"/>
        <w:rPr>
          <w:sz w:val="16"/>
        </w:rPr>
      </w:pPr>
      <w:r>
        <w:rPr>
          <w:color w:val="231F20"/>
          <w:position w:val="5"/>
          <w:sz w:val="9"/>
        </w:rPr>
        <w:t>36 </w:t>
      </w:r>
      <w:r>
        <w:rPr>
          <w:i/>
          <w:color w:val="231F20"/>
          <w:sz w:val="16"/>
        </w:rPr>
        <w:t>Id. </w:t>
      </w:r>
      <w:r>
        <w:rPr>
          <w:color w:val="231F20"/>
          <w:sz w:val="16"/>
        </w:rPr>
        <w:t>at *10 (citing </w:t>
      </w:r>
      <w:r>
        <w:rPr>
          <w:i/>
          <w:color w:val="231F20"/>
          <w:sz w:val="16"/>
        </w:rPr>
        <w:t>Boatright</w:t>
      </w:r>
      <w:r>
        <w:rPr>
          <w:color w:val="231F20"/>
          <w:sz w:val="16"/>
        </w:rPr>
        <w:t>, 218 So. 3d at 965).</w:t>
      </w:r>
    </w:p>
    <w:p>
      <w:pPr>
        <w:spacing w:before="39"/>
        <w:ind w:left="120" w:right="296" w:firstLine="0"/>
        <w:jc w:val="both"/>
        <w:rPr>
          <w:sz w:val="16"/>
        </w:rPr>
      </w:pPr>
      <w:r>
        <w:rPr>
          <w:color w:val="231F20"/>
          <w:position w:val="5"/>
          <w:sz w:val="9"/>
        </w:rPr>
        <w:t>37 </w:t>
      </w:r>
      <w:r>
        <w:rPr>
          <w:i/>
          <w:color w:val="231F20"/>
          <w:sz w:val="16"/>
        </w:rPr>
        <w:t>Id. </w:t>
      </w:r>
      <w:r>
        <w:rPr>
          <w:color w:val="231F20"/>
          <w:sz w:val="16"/>
        </w:rPr>
        <w:t>(quotations omitted) (quoting </w:t>
      </w:r>
      <w:r>
        <w:rPr>
          <w:i/>
          <w:color w:val="231F20"/>
          <w:sz w:val="16"/>
        </w:rPr>
        <w:t>Boatright</w:t>
      </w:r>
      <w:r>
        <w:rPr>
          <w:color w:val="231F20"/>
          <w:sz w:val="16"/>
        </w:rPr>
        <w:t>, 218 So. 3d at 970).</w:t>
      </w:r>
    </w:p>
    <w:p>
      <w:pPr>
        <w:spacing w:before="37"/>
        <w:ind w:left="120" w:right="0" w:firstLine="0"/>
        <w:jc w:val="both"/>
        <w:rPr>
          <w:sz w:val="16"/>
        </w:rPr>
      </w:pPr>
      <w:r>
        <w:rPr>
          <w:color w:val="231F20"/>
          <w:position w:val="5"/>
          <w:sz w:val="9"/>
        </w:rPr>
        <w:t>38 </w:t>
      </w:r>
      <w:r>
        <w:rPr>
          <w:i/>
          <w:color w:val="231F20"/>
          <w:sz w:val="16"/>
        </w:rPr>
        <w:t>Id. </w:t>
      </w:r>
      <w:r>
        <w:rPr>
          <w:color w:val="231F20"/>
          <w:sz w:val="16"/>
        </w:rPr>
        <w:t>(citing </w:t>
      </w:r>
      <w:r>
        <w:rPr>
          <w:i/>
          <w:color w:val="231F20"/>
          <w:sz w:val="16"/>
        </w:rPr>
        <w:t>McCoy</w:t>
      </w:r>
      <w:r>
        <w:rPr>
          <w:color w:val="231F20"/>
          <w:sz w:val="16"/>
        </w:rPr>
        <w:t>, 229 So. 3d at 828).</w:t>
      </w:r>
    </w:p>
    <w:p>
      <w:pPr>
        <w:spacing w:before="39"/>
        <w:ind w:left="120" w:right="0" w:firstLine="0"/>
        <w:jc w:val="both"/>
        <w:rPr>
          <w:i/>
          <w:sz w:val="16"/>
        </w:rPr>
      </w:pPr>
      <w:r>
        <w:rPr>
          <w:color w:val="231F20"/>
          <w:w w:val="105"/>
          <w:position w:val="5"/>
          <w:sz w:val="9"/>
        </w:rPr>
        <w:t>39   </w:t>
      </w:r>
      <w:r>
        <w:rPr>
          <w:color w:val="231F20"/>
          <w:spacing w:val="19"/>
          <w:w w:val="105"/>
          <w:position w:val="5"/>
          <w:sz w:val="9"/>
        </w:rPr>
        <w:t> </w:t>
      </w:r>
      <w:r>
        <w:rPr>
          <w:i/>
          <w:color w:val="231F20"/>
          <w:w w:val="105"/>
          <w:sz w:val="16"/>
        </w:rPr>
        <w:t>Id.</w:t>
      </w:r>
    </w:p>
    <w:p>
      <w:pPr>
        <w:spacing w:before="39"/>
        <w:ind w:left="120" w:right="0" w:firstLine="0"/>
        <w:jc w:val="both"/>
        <w:rPr>
          <w:i/>
          <w:sz w:val="16"/>
        </w:rPr>
      </w:pPr>
      <w:r>
        <w:rPr>
          <w:color w:val="231F20"/>
          <w:w w:val="105"/>
          <w:position w:val="5"/>
          <w:sz w:val="9"/>
        </w:rPr>
        <w:t>40   </w:t>
      </w:r>
      <w:r>
        <w:rPr>
          <w:color w:val="231F20"/>
          <w:spacing w:val="19"/>
          <w:w w:val="105"/>
          <w:position w:val="5"/>
          <w:sz w:val="9"/>
        </w:rPr>
        <w:t> </w:t>
      </w:r>
      <w:r>
        <w:rPr>
          <w:i/>
          <w:color w:val="231F20"/>
          <w:w w:val="105"/>
          <w:sz w:val="16"/>
        </w:rPr>
        <w:t>Id.</w:t>
      </w:r>
    </w:p>
    <w:p>
      <w:pPr>
        <w:spacing w:before="39"/>
        <w:ind w:left="120" w:right="0" w:firstLine="0"/>
        <w:jc w:val="both"/>
        <w:rPr>
          <w:i/>
          <w:sz w:val="16"/>
        </w:rPr>
      </w:pPr>
      <w:r>
        <w:rPr>
          <w:color w:val="231F20"/>
          <w:w w:val="105"/>
          <w:position w:val="5"/>
          <w:sz w:val="9"/>
        </w:rPr>
        <w:t>41   </w:t>
      </w:r>
      <w:r>
        <w:rPr>
          <w:color w:val="231F20"/>
          <w:spacing w:val="19"/>
          <w:w w:val="105"/>
          <w:position w:val="5"/>
          <w:sz w:val="9"/>
        </w:rPr>
        <w:t> </w:t>
      </w:r>
      <w:r>
        <w:rPr>
          <w:i/>
          <w:color w:val="231F20"/>
          <w:w w:val="105"/>
          <w:sz w:val="16"/>
        </w:rPr>
        <w:t>Id.</w:t>
      </w:r>
    </w:p>
    <w:p>
      <w:pPr>
        <w:spacing w:line="183" w:lineRule="exact" w:before="39"/>
        <w:ind w:left="120" w:right="0" w:firstLine="0"/>
        <w:jc w:val="both"/>
        <w:rPr>
          <w:sz w:val="16"/>
        </w:rPr>
      </w:pPr>
      <w:r>
        <w:rPr>
          <w:color w:val="231F20"/>
          <w:position w:val="5"/>
          <w:sz w:val="9"/>
        </w:rPr>
        <w:t>42 </w:t>
      </w:r>
      <w:r>
        <w:rPr>
          <w:i/>
          <w:color w:val="231F20"/>
          <w:sz w:val="16"/>
        </w:rPr>
        <w:t>Id. </w:t>
      </w:r>
      <w:r>
        <w:rPr>
          <w:color w:val="231F20"/>
          <w:sz w:val="16"/>
        </w:rPr>
        <w:t>at *11 (quotations omitted) (quoting</w:t>
      </w:r>
    </w:p>
    <w:p>
      <w:pPr>
        <w:spacing w:line="183" w:lineRule="exact" w:before="0"/>
        <w:ind w:left="120" w:right="0" w:firstLine="0"/>
        <w:jc w:val="both"/>
        <w:rPr>
          <w:sz w:val="16"/>
        </w:rPr>
      </w:pPr>
      <w:r>
        <w:rPr>
          <w:i/>
          <w:color w:val="231F20"/>
          <w:sz w:val="16"/>
        </w:rPr>
        <w:t>McCoy</w:t>
      </w:r>
      <w:r>
        <w:rPr>
          <w:color w:val="231F20"/>
          <w:sz w:val="16"/>
        </w:rPr>
        <w:t>, 229 So. 3d at 828).</w:t>
      </w:r>
    </w:p>
    <w:p>
      <w:pPr>
        <w:spacing w:before="39"/>
        <w:ind w:left="120" w:right="298" w:firstLine="0"/>
        <w:jc w:val="both"/>
        <w:rPr>
          <w:sz w:val="16"/>
        </w:rPr>
      </w:pPr>
      <w:r>
        <w:rPr>
          <w:color w:val="231F20"/>
          <w:position w:val="5"/>
          <w:sz w:val="9"/>
        </w:rPr>
        <w:t>43 </w:t>
      </w:r>
      <w:r>
        <w:rPr>
          <w:i/>
          <w:color w:val="231F20"/>
          <w:sz w:val="16"/>
        </w:rPr>
        <w:t>Id. </w:t>
      </w:r>
      <w:r>
        <w:rPr>
          <w:color w:val="231F20"/>
          <w:sz w:val="16"/>
        </w:rPr>
        <w:t>(citing </w:t>
      </w:r>
      <w:r>
        <w:rPr>
          <w:i/>
          <w:color w:val="231F20"/>
          <w:sz w:val="16"/>
        </w:rPr>
        <w:t>McCoy</w:t>
      </w:r>
      <w:r>
        <w:rPr>
          <w:color w:val="231F20"/>
          <w:sz w:val="16"/>
        </w:rPr>
        <w:t>, 229 So. 3d at 829 (quoting Fla. R. Jud. Admin. 2.516(a))).</w:t>
      </w:r>
    </w:p>
    <w:p>
      <w:pPr>
        <w:spacing w:before="37"/>
        <w:ind w:left="120" w:right="296" w:firstLine="0"/>
        <w:jc w:val="both"/>
        <w:rPr>
          <w:sz w:val="16"/>
        </w:rPr>
      </w:pPr>
      <w:r>
        <w:rPr>
          <w:color w:val="231F20"/>
          <w:position w:val="5"/>
          <w:sz w:val="9"/>
        </w:rPr>
        <w:t>44 </w:t>
      </w:r>
      <w:r>
        <w:rPr>
          <w:i/>
          <w:color w:val="231F20"/>
          <w:sz w:val="16"/>
        </w:rPr>
        <w:t>Id. </w:t>
      </w:r>
      <w:r>
        <w:rPr>
          <w:color w:val="231F20"/>
          <w:sz w:val="16"/>
        </w:rPr>
        <w:t>(quotations omitted) (citing </w:t>
      </w:r>
      <w:r>
        <w:rPr>
          <w:i/>
          <w:color w:val="231F20"/>
          <w:sz w:val="16"/>
        </w:rPr>
        <w:t>McCoy</w:t>
      </w:r>
      <w:r>
        <w:rPr>
          <w:color w:val="231F20"/>
          <w:sz w:val="16"/>
        </w:rPr>
        <w:t>, 229 So. 3d at 829).</w:t>
      </w:r>
    </w:p>
    <w:p>
      <w:pPr>
        <w:spacing w:before="38"/>
        <w:ind w:left="120" w:right="0" w:firstLine="0"/>
        <w:jc w:val="both"/>
        <w:rPr>
          <w:sz w:val="16"/>
        </w:rPr>
      </w:pPr>
      <w:r>
        <w:rPr>
          <w:color w:val="231F20"/>
          <w:position w:val="5"/>
          <w:sz w:val="9"/>
        </w:rPr>
        <w:t>45 </w:t>
      </w:r>
      <w:r>
        <w:rPr>
          <w:i/>
          <w:color w:val="231F20"/>
          <w:sz w:val="16"/>
        </w:rPr>
        <w:t>Id. </w:t>
      </w:r>
      <w:r>
        <w:rPr>
          <w:color w:val="231F20"/>
          <w:sz w:val="16"/>
        </w:rPr>
        <w:t>(citing </w:t>
      </w:r>
      <w:r>
        <w:rPr>
          <w:i/>
          <w:color w:val="231F20"/>
          <w:sz w:val="16"/>
        </w:rPr>
        <w:t>McCoy</w:t>
      </w:r>
      <w:r>
        <w:rPr>
          <w:color w:val="231F20"/>
          <w:sz w:val="16"/>
        </w:rPr>
        <w:t>, 229 So. 3d at 829).</w:t>
      </w:r>
    </w:p>
    <w:p>
      <w:pPr>
        <w:spacing w:before="39"/>
        <w:ind w:left="120" w:right="297" w:firstLine="0"/>
        <w:jc w:val="both"/>
        <w:rPr>
          <w:i/>
          <w:sz w:val="16"/>
        </w:rPr>
      </w:pPr>
      <w:r>
        <w:rPr>
          <w:color w:val="231F20"/>
          <w:position w:val="5"/>
          <w:sz w:val="9"/>
        </w:rPr>
        <w:t>46 </w:t>
      </w:r>
      <w:r>
        <w:rPr>
          <w:i/>
          <w:color w:val="231F20"/>
          <w:sz w:val="16"/>
        </w:rPr>
        <w:t>Id. at *11–12 </w:t>
      </w:r>
      <w:r>
        <w:rPr>
          <w:color w:val="231F20"/>
          <w:sz w:val="16"/>
        </w:rPr>
        <w:t>(citing </w:t>
      </w:r>
      <w:r>
        <w:rPr>
          <w:i/>
          <w:color w:val="231F20"/>
          <w:sz w:val="16"/>
        </w:rPr>
        <w:t>Oldcastle, </w:t>
      </w:r>
      <w:r>
        <w:rPr>
          <w:color w:val="231F20"/>
          <w:sz w:val="16"/>
        </w:rPr>
        <w:t>235 So. 3d at 993–94)</w:t>
      </w:r>
      <w:r>
        <w:rPr>
          <w:i/>
          <w:color w:val="231F20"/>
          <w:sz w:val="16"/>
        </w:rPr>
        <w:t>.</w:t>
      </w:r>
    </w:p>
    <w:p>
      <w:pPr>
        <w:spacing w:before="37"/>
        <w:ind w:left="120" w:right="0" w:firstLine="0"/>
        <w:jc w:val="both"/>
        <w:rPr>
          <w:sz w:val="16"/>
        </w:rPr>
      </w:pPr>
      <w:r>
        <w:rPr>
          <w:color w:val="231F20"/>
          <w:position w:val="5"/>
          <w:sz w:val="9"/>
        </w:rPr>
        <w:t>47 </w:t>
      </w:r>
      <w:r>
        <w:rPr>
          <w:i/>
          <w:color w:val="231F20"/>
          <w:sz w:val="16"/>
        </w:rPr>
        <w:t>Id. </w:t>
      </w:r>
      <w:r>
        <w:rPr>
          <w:color w:val="231F20"/>
          <w:sz w:val="16"/>
        </w:rPr>
        <w:t>at *12 (citing </w:t>
      </w:r>
      <w:r>
        <w:rPr>
          <w:i/>
          <w:color w:val="231F20"/>
          <w:sz w:val="16"/>
        </w:rPr>
        <w:t>Oldcastle</w:t>
      </w:r>
      <w:r>
        <w:rPr>
          <w:color w:val="231F20"/>
          <w:sz w:val="16"/>
        </w:rPr>
        <w:t>, 235 So. 3d at 994).</w:t>
      </w:r>
    </w:p>
    <w:p>
      <w:pPr>
        <w:spacing w:before="39"/>
        <w:ind w:left="120" w:right="0" w:firstLine="0"/>
        <w:jc w:val="both"/>
        <w:rPr>
          <w:sz w:val="16"/>
        </w:rPr>
      </w:pPr>
      <w:r>
        <w:rPr>
          <w:color w:val="231F20"/>
          <w:position w:val="5"/>
          <w:sz w:val="9"/>
        </w:rPr>
        <w:t>48     </w:t>
      </w:r>
      <w:r>
        <w:rPr>
          <w:i/>
          <w:color w:val="231F20"/>
          <w:sz w:val="16"/>
        </w:rPr>
        <w:t>Id. </w:t>
      </w:r>
      <w:r>
        <w:rPr>
          <w:color w:val="231F20"/>
          <w:sz w:val="16"/>
        </w:rPr>
        <w:t>(citing </w:t>
      </w:r>
      <w:r>
        <w:rPr>
          <w:i/>
          <w:color w:val="231F20"/>
          <w:sz w:val="16"/>
        </w:rPr>
        <w:t>Oldcastle</w:t>
      </w:r>
      <w:r>
        <w:rPr>
          <w:color w:val="231F20"/>
          <w:sz w:val="16"/>
        </w:rPr>
        <w:t>, 235 So. 3d at</w:t>
      </w:r>
      <w:r>
        <w:rPr>
          <w:color w:val="231F20"/>
          <w:spacing w:val="1"/>
          <w:sz w:val="16"/>
        </w:rPr>
        <w:t> </w:t>
      </w:r>
      <w:r>
        <w:rPr>
          <w:color w:val="231F20"/>
          <w:sz w:val="16"/>
        </w:rPr>
        <w:t>994).</w:t>
      </w:r>
    </w:p>
    <w:p>
      <w:pPr>
        <w:spacing w:before="39"/>
        <w:ind w:left="120" w:right="0" w:firstLine="0"/>
        <w:jc w:val="both"/>
        <w:rPr>
          <w:sz w:val="16"/>
        </w:rPr>
      </w:pPr>
      <w:r>
        <w:rPr>
          <w:color w:val="231F20"/>
          <w:position w:val="5"/>
          <w:sz w:val="9"/>
        </w:rPr>
        <w:t>49     </w:t>
      </w:r>
      <w:r>
        <w:rPr>
          <w:i/>
          <w:color w:val="231F20"/>
          <w:sz w:val="16"/>
        </w:rPr>
        <w:t>Id. </w:t>
      </w:r>
      <w:r>
        <w:rPr>
          <w:color w:val="231F20"/>
          <w:sz w:val="16"/>
        </w:rPr>
        <w:t>(citing </w:t>
      </w:r>
      <w:r>
        <w:rPr>
          <w:i/>
          <w:color w:val="231F20"/>
          <w:sz w:val="16"/>
        </w:rPr>
        <w:t>Oldcastle</w:t>
      </w:r>
      <w:r>
        <w:rPr>
          <w:color w:val="231F20"/>
          <w:sz w:val="16"/>
        </w:rPr>
        <w:t>, 235 So. 3d at</w:t>
      </w:r>
      <w:r>
        <w:rPr>
          <w:color w:val="231F20"/>
          <w:spacing w:val="1"/>
          <w:sz w:val="16"/>
        </w:rPr>
        <w:t> </w:t>
      </w:r>
      <w:r>
        <w:rPr>
          <w:color w:val="231F20"/>
          <w:sz w:val="16"/>
        </w:rPr>
        <w:t>995).</w:t>
      </w:r>
    </w:p>
    <w:p>
      <w:pPr>
        <w:spacing w:before="39"/>
        <w:ind w:left="120" w:right="0" w:firstLine="0"/>
        <w:jc w:val="both"/>
        <w:rPr>
          <w:sz w:val="16"/>
        </w:rPr>
      </w:pPr>
      <w:r>
        <w:rPr>
          <w:color w:val="231F20"/>
          <w:position w:val="5"/>
          <w:sz w:val="9"/>
        </w:rPr>
        <w:t>50     </w:t>
      </w:r>
      <w:r>
        <w:rPr>
          <w:i/>
          <w:color w:val="231F20"/>
          <w:sz w:val="16"/>
        </w:rPr>
        <w:t>Id. </w:t>
      </w:r>
      <w:r>
        <w:rPr>
          <w:color w:val="231F20"/>
          <w:sz w:val="16"/>
        </w:rPr>
        <w:t>(citing </w:t>
      </w:r>
      <w:r>
        <w:rPr>
          <w:i/>
          <w:color w:val="231F20"/>
          <w:sz w:val="16"/>
        </w:rPr>
        <w:t>Oldcastle</w:t>
      </w:r>
      <w:r>
        <w:rPr>
          <w:color w:val="231F20"/>
          <w:sz w:val="16"/>
        </w:rPr>
        <w:t>, 235 So. 3d at</w:t>
      </w:r>
      <w:r>
        <w:rPr>
          <w:color w:val="231F20"/>
          <w:spacing w:val="1"/>
          <w:sz w:val="16"/>
        </w:rPr>
        <w:t> </w:t>
      </w:r>
      <w:r>
        <w:rPr>
          <w:color w:val="231F20"/>
          <w:sz w:val="16"/>
        </w:rPr>
        <w:t>994).</w:t>
      </w:r>
    </w:p>
    <w:p>
      <w:pPr>
        <w:spacing w:before="39"/>
        <w:ind w:left="120" w:right="0" w:firstLine="0"/>
        <w:jc w:val="both"/>
        <w:rPr>
          <w:sz w:val="16"/>
        </w:rPr>
      </w:pPr>
      <w:r>
        <w:rPr>
          <w:color w:val="231F20"/>
          <w:position w:val="5"/>
          <w:sz w:val="9"/>
        </w:rPr>
        <w:t>51 </w:t>
      </w:r>
      <w:r>
        <w:rPr>
          <w:i/>
          <w:color w:val="231F20"/>
          <w:sz w:val="16"/>
        </w:rPr>
        <w:t>Id. </w:t>
      </w:r>
      <w:r>
        <w:rPr>
          <w:color w:val="231F20"/>
          <w:sz w:val="16"/>
        </w:rPr>
        <w:t>(citing </w:t>
      </w:r>
      <w:r>
        <w:rPr>
          <w:i/>
          <w:color w:val="231F20"/>
          <w:sz w:val="16"/>
        </w:rPr>
        <w:t>Oldcastle</w:t>
      </w:r>
      <w:r>
        <w:rPr>
          <w:color w:val="231F20"/>
          <w:sz w:val="16"/>
        </w:rPr>
        <w:t>, 235 So. 3d at 994–95).</w:t>
      </w:r>
    </w:p>
    <w:p>
      <w:pPr>
        <w:spacing w:before="39"/>
        <w:ind w:left="120" w:right="298" w:firstLine="0"/>
        <w:jc w:val="both"/>
        <w:rPr>
          <w:sz w:val="16"/>
        </w:rPr>
      </w:pPr>
      <w:r>
        <w:rPr>
          <w:color w:val="231F20"/>
          <w:position w:val="5"/>
          <w:sz w:val="9"/>
        </w:rPr>
        <w:t>52 </w:t>
      </w:r>
      <w:r>
        <w:rPr>
          <w:i/>
          <w:color w:val="231F20"/>
          <w:sz w:val="16"/>
        </w:rPr>
        <w:t>Id. </w:t>
      </w:r>
      <w:r>
        <w:rPr>
          <w:color w:val="231F20"/>
          <w:sz w:val="16"/>
        </w:rPr>
        <w:t>(citing </w:t>
      </w:r>
      <w:r>
        <w:rPr>
          <w:i/>
          <w:color w:val="231F20"/>
          <w:sz w:val="16"/>
        </w:rPr>
        <w:t>Campbell </w:t>
      </w:r>
      <w:r>
        <w:rPr>
          <w:i/>
          <w:color w:val="231F20"/>
          <w:spacing w:val="-6"/>
          <w:sz w:val="16"/>
        </w:rPr>
        <w:t>v. </w:t>
      </w:r>
      <w:r>
        <w:rPr>
          <w:i/>
          <w:color w:val="231F20"/>
          <w:sz w:val="16"/>
        </w:rPr>
        <w:t>Goldman</w:t>
      </w:r>
      <w:r>
        <w:rPr>
          <w:color w:val="231F20"/>
          <w:sz w:val="16"/>
        </w:rPr>
        <w:t>, 959 So. 2d 223, 226 (Fla.</w:t>
      </w:r>
      <w:r>
        <w:rPr>
          <w:color w:val="231F20"/>
          <w:spacing w:val="-3"/>
          <w:sz w:val="16"/>
        </w:rPr>
        <w:t> </w:t>
      </w:r>
      <w:r>
        <w:rPr>
          <w:color w:val="231F20"/>
          <w:sz w:val="16"/>
        </w:rPr>
        <w:t>2007)).</w:t>
      </w:r>
    </w:p>
    <w:p>
      <w:pPr>
        <w:spacing w:before="37"/>
        <w:ind w:left="120" w:right="298" w:firstLine="0"/>
        <w:jc w:val="both"/>
        <w:rPr>
          <w:sz w:val="16"/>
        </w:rPr>
      </w:pPr>
      <w:r>
        <w:rPr>
          <w:color w:val="231F20"/>
          <w:position w:val="5"/>
          <w:sz w:val="9"/>
        </w:rPr>
        <w:t>53</w:t>
      </w:r>
      <w:r>
        <w:rPr>
          <w:color w:val="231F20"/>
          <w:spacing w:val="5"/>
          <w:position w:val="5"/>
          <w:sz w:val="9"/>
        </w:rPr>
        <w:t> </w:t>
      </w:r>
      <w:r>
        <w:rPr>
          <w:i/>
          <w:color w:val="231F20"/>
          <w:sz w:val="16"/>
        </w:rPr>
        <w:t>Id.</w:t>
      </w:r>
      <w:r>
        <w:rPr>
          <w:i/>
          <w:color w:val="231F20"/>
          <w:spacing w:val="-10"/>
          <w:sz w:val="16"/>
        </w:rPr>
        <w:t> </w:t>
      </w:r>
      <w:r>
        <w:rPr>
          <w:color w:val="231F20"/>
          <w:sz w:val="16"/>
        </w:rPr>
        <w:t>at</w:t>
      </w:r>
      <w:r>
        <w:rPr>
          <w:color w:val="231F20"/>
          <w:spacing w:val="-9"/>
          <w:sz w:val="16"/>
        </w:rPr>
        <w:t> </w:t>
      </w:r>
      <w:r>
        <w:rPr>
          <w:color w:val="231F20"/>
          <w:sz w:val="16"/>
        </w:rPr>
        <w:t>*</w:t>
      </w:r>
      <w:r>
        <w:rPr>
          <w:color w:val="231F20"/>
          <w:spacing w:val="-10"/>
          <w:sz w:val="16"/>
        </w:rPr>
        <w:t> </w:t>
      </w:r>
      <w:r>
        <w:rPr>
          <w:color w:val="231F20"/>
          <w:sz w:val="16"/>
        </w:rPr>
        <w:t>12–13</w:t>
      </w:r>
      <w:r>
        <w:rPr>
          <w:color w:val="231F20"/>
          <w:spacing w:val="-9"/>
          <w:sz w:val="16"/>
        </w:rPr>
        <w:t> </w:t>
      </w:r>
      <w:r>
        <w:rPr>
          <w:color w:val="231F20"/>
          <w:sz w:val="16"/>
        </w:rPr>
        <w:t>(citing</w:t>
      </w:r>
      <w:r>
        <w:rPr>
          <w:color w:val="231F20"/>
          <w:spacing w:val="-10"/>
          <w:sz w:val="16"/>
        </w:rPr>
        <w:t> </w:t>
      </w:r>
      <w:r>
        <w:rPr>
          <w:i/>
          <w:color w:val="231F20"/>
          <w:sz w:val="16"/>
        </w:rPr>
        <w:t>Holly</w:t>
      </w:r>
      <w:r>
        <w:rPr>
          <w:i/>
          <w:color w:val="231F20"/>
          <w:spacing w:val="-9"/>
          <w:sz w:val="16"/>
        </w:rPr>
        <w:t> </w:t>
      </w:r>
      <w:r>
        <w:rPr>
          <w:i/>
          <w:color w:val="231F20"/>
          <w:spacing w:val="-6"/>
          <w:sz w:val="16"/>
        </w:rPr>
        <w:t>v.</w:t>
      </w:r>
      <w:r>
        <w:rPr>
          <w:i/>
          <w:color w:val="231F20"/>
          <w:spacing w:val="-16"/>
          <w:sz w:val="16"/>
        </w:rPr>
        <w:t> </w:t>
      </w:r>
      <w:r>
        <w:rPr>
          <w:i/>
          <w:color w:val="231F20"/>
          <w:sz w:val="16"/>
        </w:rPr>
        <w:t>Auld</w:t>
      </w:r>
      <w:r>
        <w:rPr>
          <w:color w:val="231F20"/>
          <w:sz w:val="16"/>
        </w:rPr>
        <w:t>,</w:t>
      </w:r>
      <w:r>
        <w:rPr>
          <w:color w:val="231F20"/>
          <w:spacing w:val="-9"/>
          <w:sz w:val="16"/>
        </w:rPr>
        <w:t> </w:t>
      </w:r>
      <w:r>
        <w:rPr>
          <w:color w:val="231F20"/>
          <w:sz w:val="16"/>
        </w:rPr>
        <w:t>450</w:t>
      </w:r>
      <w:r>
        <w:rPr>
          <w:color w:val="231F20"/>
          <w:spacing w:val="-9"/>
          <w:sz w:val="16"/>
        </w:rPr>
        <w:t> </w:t>
      </w:r>
      <w:r>
        <w:rPr>
          <w:color w:val="231F20"/>
          <w:sz w:val="16"/>
        </w:rPr>
        <w:t>So.</w:t>
      </w:r>
      <w:r>
        <w:rPr>
          <w:color w:val="231F20"/>
          <w:spacing w:val="-10"/>
          <w:sz w:val="16"/>
        </w:rPr>
        <w:t> </w:t>
      </w:r>
      <w:r>
        <w:rPr>
          <w:color w:val="231F20"/>
          <w:sz w:val="16"/>
        </w:rPr>
        <w:t>2d 217, 219 (Fla.</w:t>
      </w:r>
      <w:r>
        <w:rPr>
          <w:color w:val="231F20"/>
          <w:spacing w:val="-3"/>
          <w:sz w:val="16"/>
        </w:rPr>
        <w:t> </w:t>
      </w:r>
      <w:r>
        <w:rPr>
          <w:color w:val="231F20"/>
          <w:sz w:val="16"/>
        </w:rPr>
        <w:t>1984)).</w:t>
      </w:r>
    </w:p>
    <w:p>
      <w:pPr>
        <w:spacing w:before="38"/>
        <w:ind w:left="120" w:right="292" w:firstLine="0"/>
        <w:jc w:val="both"/>
        <w:rPr>
          <w:sz w:val="16"/>
        </w:rPr>
      </w:pPr>
      <w:r>
        <w:rPr>
          <w:color w:val="231F20"/>
          <w:position w:val="5"/>
          <w:sz w:val="9"/>
        </w:rPr>
        <w:t>54 </w:t>
      </w:r>
      <w:r>
        <w:rPr>
          <w:i/>
          <w:color w:val="231F20"/>
          <w:sz w:val="16"/>
        </w:rPr>
        <w:t>Id. </w:t>
      </w:r>
      <w:r>
        <w:rPr>
          <w:color w:val="231F20"/>
          <w:sz w:val="16"/>
        </w:rPr>
        <w:t>at *13 (citing </w:t>
      </w:r>
      <w:r>
        <w:rPr>
          <w:i/>
          <w:color w:val="231F20"/>
          <w:sz w:val="16"/>
        </w:rPr>
        <w:t>Gulfstream Park Racing </w:t>
      </w:r>
      <w:r>
        <w:rPr>
          <w:i/>
          <w:color w:val="231F20"/>
          <w:sz w:val="16"/>
        </w:rPr>
        <w:t>Ass’n, Inc., v. Tampa Bay Downs, Inc.</w:t>
      </w:r>
      <w:r>
        <w:rPr>
          <w:color w:val="231F20"/>
          <w:sz w:val="16"/>
        </w:rPr>
        <w:t>, 948 So. 2d 599, 606 (Fla. 2006)).</w:t>
      </w:r>
    </w:p>
    <w:p>
      <w:pPr>
        <w:spacing w:before="37"/>
        <w:ind w:left="120" w:right="0" w:firstLine="0"/>
        <w:jc w:val="both"/>
        <w:rPr>
          <w:i/>
          <w:sz w:val="16"/>
        </w:rPr>
      </w:pPr>
      <w:r>
        <w:rPr>
          <w:color w:val="231F20"/>
          <w:w w:val="105"/>
          <w:position w:val="5"/>
          <w:sz w:val="9"/>
        </w:rPr>
        <w:t>55 </w:t>
      </w:r>
      <w:r>
        <w:rPr>
          <w:i/>
          <w:color w:val="231F20"/>
          <w:w w:val="105"/>
          <w:sz w:val="16"/>
        </w:rPr>
        <w:t>Id.</w:t>
      </w:r>
    </w:p>
    <w:p>
      <w:pPr>
        <w:spacing w:before="38"/>
        <w:ind w:left="120" w:right="0" w:firstLine="0"/>
        <w:jc w:val="both"/>
        <w:rPr>
          <w:sz w:val="16"/>
        </w:rPr>
      </w:pPr>
      <w:r>
        <w:rPr>
          <w:color w:val="231F20"/>
          <w:position w:val="5"/>
          <w:sz w:val="9"/>
        </w:rPr>
        <w:t>56 </w:t>
      </w:r>
      <w:r>
        <w:rPr>
          <w:i/>
          <w:color w:val="231F20"/>
          <w:sz w:val="16"/>
        </w:rPr>
        <w:t>Id. </w:t>
      </w:r>
      <w:r>
        <w:rPr>
          <w:color w:val="231F20"/>
          <w:sz w:val="16"/>
        </w:rPr>
        <w:t>(citing § 768.79(3), Fla. Stat.).</w:t>
      </w:r>
    </w:p>
    <w:p>
      <w:pPr>
        <w:spacing w:before="39"/>
        <w:ind w:left="120" w:right="0" w:firstLine="0"/>
        <w:jc w:val="both"/>
        <w:rPr>
          <w:i/>
          <w:sz w:val="16"/>
        </w:rPr>
      </w:pPr>
      <w:r>
        <w:rPr>
          <w:color w:val="231F20"/>
          <w:w w:val="105"/>
          <w:position w:val="5"/>
          <w:sz w:val="9"/>
        </w:rPr>
        <w:t>57 </w:t>
      </w:r>
      <w:r>
        <w:rPr>
          <w:i/>
          <w:color w:val="231F20"/>
          <w:w w:val="105"/>
          <w:sz w:val="16"/>
        </w:rPr>
        <w:t>Id.</w:t>
      </w:r>
    </w:p>
    <w:p>
      <w:pPr>
        <w:spacing w:before="39"/>
        <w:ind w:left="120" w:right="0" w:firstLine="0"/>
        <w:jc w:val="both"/>
        <w:rPr>
          <w:sz w:val="16"/>
        </w:rPr>
      </w:pPr>
      <w:r>
        <w:rPr>
          <w:color w:val="231F20"/>
          <w:position w:val="5"/>
          <w:sz w:val="9"/>
        </w:rPr>
        <w:t>58 </w:t>
      </w:r>
      <w:r>
        <w:rPr>
          <w:i/>
          <w:color w:val="231F20"/>
          <w:sz w:val="16"/>
        </w:rPr>
        <w:t>Id. </w:t>
      </w:r>
      <w:r>
        <w:rPr>
          <w:color w:val="231F20"/>
          <w:sz w:val="16"/>
        </w:rPr>
        <w:t>at *13–14 (citing Fla. R. Civ. P. 1.442(d)).</w:t>
      </w:r>
    </w:p>
    <w:p>
      <w:pPr>
        <w:spacing w:before="39"/>
        <w:ind w:left="120" w:right="349" w:firstLine="0"/>
        <w:jc w:val="left"/>
        <w:rPr>
          <w:sz w:val="16"/>
        </w:rPr>
      </w:pPr>
      <w:r>
        <w:rPr>
          <w:color w:val="231F20"/>
          <w:position w:val="5"/>
          <w:sz w:val="9"/>
        </w:rPr>
        <w:t>59 </w:t>
      </w:r>
      <w:r>
        <w:rPr>
          <w:i/>
          <w:color w:val="231F20"/>
          <w:spacing w:val="6"/>
          <w:sz w:val="16"/>
        </w:rPr>
        <w:t>Id. </w:t>
      </w:r>
      <w:r>
        <w:rPr>
          <w:color w:val="231F20"/>
          <w:spacing w:val="5"/>
          <w:sz w:val="16"/>
        </w:rPr>
        <w:t>at </w:t>
      </w:r>
      <w:r>
        <w:rPr>
          <w:color w:val="231F20"/>
          <w:spacing w:val="6"/>
          <w:sz w:val="16"/>
        </w:rPr>
        <w:t>*14 </w:t>
      </w:r>
      <w:r>
        <w:rPr>
          <w:color w:val="231F20"/>
          <w:spacing w:val="9"/>
          <w:sz w:val="16"/>
        </w:rPr>
        <w:t>(quotations </w:t>
      </w:r>
      <w:r>
        <w:rPr>
          <w:color w:val="231F20"/>
          <w:spacing w:val="8"/>
          <w:sz w:val="16"/>
        </w:rPr>
        <w:t>omitted)  </w:t>
      </w:r>
      <w:r>
        <w:rPr>
          <w:color w:val="231F20"/>
          <w:spacing w:val="10"/>
          <w:sz w:val="16"/>
        </w:rPr>
        <w:t>(citing </w:t>
      </w:r>
      <w:r>
        <w:rPr>
          <w:color w:val="231F20"/>
          <w:sz w:val="16"/>
        </w:rPr>
        <w:t>Fla. R. </w:t>
      </w:r>
      <w:r>
        <w:rPr>
          <w:color w:val="231F20"/>
          <w:spacing w:val="-4"/>
          <w:sz w:val="16"/>
        </w:rPr>
        <w:t>Civ. </w:t>
      </w:r>
      <w:r>
        <w:rPr>
          <w:color w:val="231F20"/>
          <w:spacing w:val="-11"/>
          <w:sz w:val="16"/>
        </w:rPr>
        <w:t>P.</w:t>
      </w:r>
      <w:r>
        <w:rPr>
          <w:color w:val="231F20"/>
          <w:spacing w:val="1"/>
          <w:sz w:val="16"/>
        </w:rPr>
        <w:t> </w:t>
      </w:r>
      <w:r>
        <w:rPr>
          <w:color w:val="231F20"/>
          <w:sz w:val="16"/>
        </w:rPr>
        <w:t>1.442(c)(2)(G)).</w:t>
      </w:r>
    </w:p>
    <w:p>
      <w:pPr>
        <w:spacing w:before="38"/>
        <w:ind w:left="120" w:right="0" w:firstLine="0"/>
        <w:jc w:val="left"/>
        <w:rPr>
          <w:sz w:val="16"/>
        </w:rPr>
      </w:pPr>
      <w:r>
        <w:rPr>
          <w:color w:val="231F20"/>
          <w:position w:val="5"/>
          <w:sz w:val="9"/>
        </w:rPr>
        <w:t>60 </w:t>
      </w:r>
      <w:r>
        <w:rPr>
          <w:i/>
          <w:color w:val="231F20"/>
          <w:sz w:val="16"/>
        </w:rPr>
        <w:t>Id. </w:t>
      </w:r>
      <w:r>
        <w:rPr>
          <w:color w:val="231F20"/>
          <w:sz w:val="16"/>
        </w:rPr>
        <w:t>(citing Fla. R. Civ. P. 1.080(a)).</w:t>
      </w:r>
    </w:p>
    <w:p>
      <w:pPr>
        <w:spacing w:before="38"/>
        <w:ind w:left="120" w:right="0" w:firstLine="0"/>
        <w:jc w:val="left"/>
        <w:rPr>
          <w:i/>
          <w:sz w:val="16"/>
        </w:rPr>
      </w:pPr>
      <w:r>
        <w:rPr>
          <w:color w:val="231F20"/>
          <w:w w:val="105"/>
          <w:position w:val="5"/>
          <w:sz w:val="9"/>
        </w:rPr>
        <w:t>61   </w:t>
      </w:r>
      <w:r>
        <w:rPr>
          <w:color w:val="231F20"/>
          <w:spacing w:val="19"/>
          <w:w w:val="105"/>
          <w:position w:val="5"/>
          <w:sz w:val="9"/>
        </w:rPr>
        <w:t> </w:t>
      </w:r>
      <w:r>
        <w:rPr>
          <w:i/>
          <w:color w:val="231F20"/>
          <w:w w:val="105"/>
          <w:sz w:val="16"/>
        </w:rPr>
        <w:t>Id.</w:t>
      </w:r>
    </w:p>
    <w:p>
      <w:pPr>
        <w:spacing w:before="39"/>
        <w:ind w:left="120" w:right="0" w:firstLine="0"/>
        <w:jc w:val="left"/>
        <w:rPr>
          <w:i/>
          <w:sz w:val="16"/>
        </w:rPr>
      </w:pPr>
      <w:r>
        <w:rPr>
          <w:color w:val="231F20"/>
          <w:w w:val="105"/>
          <w:position w:val="5"/>
          <w:sz w:val="9"/>
        </w:rPr>
        <w:t>62   </w:t>
      </w:r>
      <w:r>
        <w:rPr>
          <w:color w:val="231F20"/>
          <w:spacing w:val="19"/>
          <w:w w:val="105"/>
          <w:position w:val="5"/>
          <w:sz w:val="9"/>
        </w:rPr>
        <w:t> </w:t>
      </w:r>
      <w:r>
        <w:rPr>
          <w:i/>
          <w:color w:val="231F20"/>
          <w:w w:val="105"/>
          <w:sz w:val="16"/>
        </w:rPr>
        <w:t>Id.</w:t>
      </w:r>
    </w:p>
    <w:p>
      <w:pPr>
        <w:spacing w:before="39"/>
        <w:ind w:left="120" w:right="0" w:firstLine="0"/>
        <w:jc w:val="left"/>
        <w:rPr>
          <w:i/>
          <w:sz w:val="16"/>
        </w:rPr>
      </w:pPr>
      <w:r>
        <w:rPr>
          <w:color w:val="231F20"/>
          <w:w w:val="105"/>
          <w:position w:val="5"/>
          <w:sz w:val="9"/>
        </w:rPr>
        <w:t>63   </w:t>
      </w:r>
      <w:r>
        <w:rPr>
          <w:color w:val="231F20"/>
          <w:spacing w:val="19"/>
          <w:w w:val="105"/>
          <w:position w:val="5"/>
          <w:sz w:val="9"/>
        </w:rPr>
        <w:t> </w:t>
      </w:r>
      <w:r>
        <w:rPr>
          <w:i/>
          <w:color w:val="231F20"/>
          <w:w w:val="105"/>
          <w:sz w:val="16"/>
        </w:rPr>
        <w:t>Id.</w:t>
      </w:r>
    </w:p>
    <w:p>
      <w:pPr>
        <w:spacing w:before="39"/>
        <w:ind w:left="120" w:right="0" w:firstLine="0"/>
        <w:jc w:val="left"/>
        <w:rPr>
          <w:sz w:val="16"/>
        </w:rPr>
      </w:pPr>
      <w:r>
        <w:rPr>
          <w:color w:val="231F20"/>
          <w:position w:val="5"/>
          <w:sz w:val="9"/>
        </w:rPr>
        <w:t>64 </w:t>
      </w:r>
      <w:r>
        <w:rPr>
          <w:i/>
          <w:color w:val="231F20"/>
          <w:sz w:val="16"/>
        </w:rPr>
        <w:t>Id. </w:t>
      </w:r>
      <w:r>
        <w:rPr>
          <w:color w:val="231F20"/>
          <w:sz w:val="16"/>
        </w:rPr>
        <w:t>at *14–15.</w:t>
      </w:r>
    </w:p>
    <w:p>
      <w:pPr>
        <w:spacing w:before="39"/>
        <w:ind w:left="120" w:right="0" w:firstLine="0"/>
        <w:jc w:val="left"/>
        <w:rPr>
          <w:sz w:val="16"/>
        </w:rPr>
      </w:pPr>
      <w:r>
        <w:rPr>
          <w:color w:val="231F20"/>
          <w:position w:val="5"/>
          <w:sz w:val="9"/>
        </w:rPr>
        <w:t>65 </w:t>
      </w:r>
      <w:r>
        <w:rPr>
          <w:i/>
          <w:color w:val="231F20"/>
          <w:sz w:val="16"/>
        </w:rPr>
        <w:t>Id. </w:t>
      </w:r>
      <w:r>
        <w:rPr>
          <w:color w:val="231F20"/>
          <w:sz w:val="16"/>
        </w:rPr>
        <w:t>at *19.</w:t>
      </w:r>
    </w:p>
    <w:p>
      <w:pPr>
        <w:spacing w:after="0"/>
        <w:jc w:val="left"/>
        <w:rPr>
          <w:sz w:val="16"/>
        </w:rPr>
        <w:sectPr>
          <w:headerReference w:type="default" r:id="rId79"/>
          <w:footerReference w:type="default" r:id="rId80"/>
          <w:pgSz w:w="12240" w:h="15840"/>
          <w:pgMar w:header="0" w:footer="558" w:top="860" w:bottom="740" w:left="720" w:right="540"/>
          <w:pgNumType w:start="14"/>
          <w:cols w:num="3" w:equalWidth="0">
            <w:col w:w="3354" w:space="246"/>
            <w:col w:w="3525" w:space="75"/>
            <w:col w:w="3780"/>
          </w:cols>
        </w:sectPr>
      </w:pPr>
    </w:p>
    <w:p>
      <w:pPr>
        <w:pStyle w:val="BodyText"/>
        <w:ind w:left="120"/>
      </w:pPr>
      <w:r>
        <w:rPr/>
        <w:pict>
          <v:group style="width:537.050pt;height:48.65pt;mso-position-horizontal-relative:char;mso-position-vertical-relative:line" coordorigin="0,0" coordsize="10741,973">
            <v:shape style="position:absolute;left:10;top:10;width:10600;height:780" type="#_x0000_t75" stroked="false">
              <v:imagedata r:id="rId86" o:title=""/>
            </v:shape>
            <v:rect style="position:absolute;left:10;top:10;width:10600;height:780" filled="false" stroked="true" strokeweight="1pt" strokecolor="#000000">
              <v:stroke dashstyle="solid"/>
            </v:rect>
            <v:rect style="position:absolute;left:40;top:158;width:10700;height:814" filled="true" fillcolor="#ffffff" stroked="false">
              <v:fill type="solid"/>
            </v:rect>
            <v:line style="position:absolute" from="40,812" to="10620,812" stroked="true" strokeweight="4pt" strokecolor="#0076bf">
              <v:stroke dashstyle="solid"/>
            </v:line>
            <v:shape style="position:absolute;left:0;top:0;width:10741;height:973" type="#_x0000_t202" filled="false" stroked="false">
              <v:textbox inset="0,0,0,0">
                <w:txbxContent>
                  <w:p>
                    <w:pPr>
                      <w:spacing w:line="846" w:lineRule="exact" w:before="0"/>
                      <w:ind w:left="40" w:right="0" w:firstLine="0"/>
                      <w:jc w:val="left"/>
                      <w:rPr>
                        <w:rFonts w:ascii="Calibri"/>
                        <w:sz w:val="72"/>
                      </w:rPr>
                    </w:pPr>
                    <w:bookmarkStart w:name="_bookmark7" w:id="8"/>
                    <w:bookmarkEnd w:id="8"/>
                    <w:r>
                      <w:rPr/>
                    </w:r>
                    <w:r>
                      <w:rPr>
                        <w:rFonts w:ascii="Calibri"/>
                        <w:color w:val="0076BF"/>
                        <w:sz w:val="72"/>
                      </w:rPr>
                      <w:t>CASE NOTES</w:t>
                    </w:r>
                  </w:p>
                </w:txbxContent>
              </v:textbox>
              <w10:wrap type="none"/>
            </v:shape>
          </v:group>
        </w:pict>
      </w:r>
      <w:r>
        <w:rPr/>
      </w:r>
    </w:p>
    <w:p>
      <w:pPr>
        <w:pStyle w:val="BodyText"/>
        <w:spacing w:before="4"/>
        <w:rPr>
          <w:sz w:val="15"/>
        </w:rPr>
      </w:pPr>
    </w:p>
    <w:p>
      <w:pPr>
        <w:spacing w:after="0"/>
        <w:rPr>
          <w:sz w:val="15"/>
        </w:rPr>
        <w:sectPr>
          <w:headerReference w:type="default" r:id="rId84"/>
          <w:footerReference w:type="default" r:id="rId85"/>
          <w:pgSz w:w="12240" w:h="15840"/>
          <w:pgMar w:header="0" w:footer="558" w:top="840" w:bottom="740" w:left="720" w:right="540"/>
          <w:pgNumType w:start="15"/>
        </w:sectPr>
      </w:pPr>
    </w:p>
    <w:p>
      <w:pPr>
        <w:spacing w:before="90"/>
        <w:ind w:left="67" w:right="0" w:firstLine="0"/>
        <w:jc w:val="center"/>
        <w:rPr>
          <w:b/>
          <w:sz w:val="30"/>
        </w:rPr>
      </w:pPr>
      <w:r>
        <w:rPr>
          <w:b/>
          <w:color w:val="231F20"/>
          <w:sz w:val="30"/>
        </w:rPr>
        <w:t>FEDERAL COURTS</w:t>
      </w:r>
    </w:p>
    <w:p>
      <w:pPr>
        <w:pStyle w:val="BodyText"/>
        <w:spacing w:before="8"/>
        <w:rPr>
          <w:b/>
          <w:sz w:val="13"/>
        </w:rPr>
      </w:pPr>
      <w:r>
        <w:rPr/>
        <w:pict>
          <v:shape style="position:absolute;margin-left:42pt;margin-top:10.347597pt;width:168pt;height:.1pt;mso-position-horizontal-relative:page;mso-position-vertical-relative:paragraph;z-index:-251532288;mso-wrap-distance-left:0;mso-wrap-distance-right:0" coordorigin="840,207" coordsize="3360,0" path="m840,207l4200,207e" filled="false" stroked="true" strokeweight="1pt" strokecolor="#231f20">
            <v:path arrowok="t"/>
            <v:stroke dashstyle="solid"/>
            <w10:wrap type="topAndBottom"/>
          </v:shape>
        </w:pict>
      </w:r>
    </w:p>
    <w:p>
      <w:pPr>
        <w:tabs>
          <w:tab w:pos="680" w:val="left" w:leader="none"/>
          <w:tab w:pos="3426" w:val="left" w:leader="none"/>
        </w:tabs>
        <w:spacing w:before="0"/>
        <w:ind w:left="66" w:right="0" w:firstLine="0"/>
        <w:jc w:val="center"/>
        <w:rPr>
          <w:b/>
          <w:sz w:val="28"/>
        </w:rPr>
      </w:pPr>
      <w:r>
        <w:rPr>
          <w:b/>
          <w:color w:val="231F20"/>
          <w:sz w:val="28"/>
          <w:u w:val="single" w:color="231F20"/>
        </w:rPr>
        <w:t> </w:t>
        <w:tab/>
        <w:t>Eleventh</w:t>
      </w:r>
      <w:r>
        <w:rPr>
          <w:b/>
          <w:color w:val="231F20"/>
          <w:spacing w:val="-1"/>
          <w:sz w:val="28"/>
          <w:u w:val="single" w:color="231F20"/>
        </w:rPr>
        <w:t> </w:t>
      </w:r>
      <w:r>
        <w:rPr>
          <w:b/>
          <w:color w:val="231F20"/>
          <w:sz w:val="28"/>
          <w:u w:val="single" w:color="231F20"/>
        </w:rPr>
        <w:t>Circuit</w:t>
        <w:tab/>
      </w:r>
    </w:p>
    <w:p>
      <w:pPr>
        <w:pStyle w:val="BodyText"/>
        <w:spacing w:before="9"/>
        <w:rPr>
          <w:b/>
          <w:sz w:val="23"/>
        </w:rPr>
      </w:pPr>
    </w:p>
    <w:p>
      <w:pPr>
        <w:spacing w:before="1"/>
        <w:ind w:left="66" w:right="0" w:firstLine="0"/>
        <w:jc w:val="center"/>
        <w:rPr>
          <w:b/>
          <w:sz w:val="22"/>
        </w:rPr>
      </w:pPr>
      <w:r>
        <w:rPr>
          <w:b/>
          <w:color w:val="231F20"/>
          <w:sz w:val="22"/>
        </w:rPr>
        <w:t>By Carlo Marichal</w:t>
      </w:r>
    </w:p>
    <w:p>
      <w:pPr>
        <w:spacing w:line="249" w:lineRule="auto" w:before="145"/>
        <w:ind w:left="120" w:right="49" w:firstLine="180"/>
        <w:jc w:val="both"/>
        <w:rPr>
          <w:b/>
          <w:sz w:val="20"/>
        </w:rPr>
      </w:pPr>
      <w:r>
        <w:rPr>
          <w:b/>
          <w:color w:val="231F20"/>
          <w:sz w:val="20"/>
        </w:rPr>
        <w:t>Meaningful comparator analysis must be conducted at prima facie stage</w:t>
      </w:r>
      <w:r>
        <w:rPr>
          <w:b/>
          <w:color w:val="231F20"/>
          <w:spacing w:val="-26"/>
          <w:sz w:val="20"/>
        </w:rPr>
        <w:t> </w:t>
      </w:r>
      <w:r>
        <w:rPr>
          <w:b/>
          <w:color w:val="231F20"/>
          <w:sz w:val="20"/>
        </w:rPr>
        <w:t>of</w:t>
      </w:r>
      <w:r>
        <w:rPr>
          <w:b/>
          <w:color w:val="231F20"/>
          <w:spacing w:val="-25"/>
          <w:sz w:val="20"/>
        </w:rPr>
        <w:t> </w:t>
      </w:r>
      <w:r>
        <w:rPr>
          <w:b/>
          <w:i/>
          <w:color w:val="231F20"/>
          <w:sz w:val="20"/>
        </w:rPr>
        <w:t>McDonnell</w:t>
      </w:r>
      <w:r>
        <w:rPr>
          <w:b/>
          <w:i/>
          <w:color w:val="231F20"/>
          <w:spacing w:val="-26"/>
          <w:sz w:val="20"/>
        </w:rPr>
        <w:t> </w:t>
      </w:r>
      <w:r>
        <w:rPr>
          <w:b/>
          <w:i/>
          <w:color w:val="231F20"/>
          <w:sz w:val="20"/>
        </w:rPr>
        <w:t>Douglas</w:t>
      </w:r>
      <w:r>
        <w:rPr>
          <w:b/>
          <w:i/>
          <w:color w:val="231F20"/>
          <w:spacing w:val="-25"/>
          <w:sz w:val="20"/>
        </w:rPr>
        <w:t> </w:t>
      </w:r>
      <w:r>
        <w:rPr>
          <w:b/>
          <w:color w:val="231F20"/>
          <w:spacing w:val="-4"/>
          <w:sz w:val="20"/>
        </w:rPr>
        <w:t>burden- </w:t>
      </w:r>
      <w:r>
        <w:rPr>
          <w:b/>
          <w:color w:val="231F20"/>
          <w:sz w:val="20"/>
        </w:rPr>
        <w:t>shifting framework, and proper test for evaluating comparator</w:t>
      </w:r>
      <w:r>
        <w:rPr>
          <w:b/>
          <w:color w:val="231F20"/>
          <w:spacing w:val="-43"/>
          <w:sz w:val="20"/>
        </w:rPr>
        <w:t> </w:t>
      </w:r>
      <w:r>
        <w:rPr>
          <w:b/>
          <w:color w:val="231F20"/>
          <w:sz w:val="20"/>
        </w:rPr>
        <w:t>evidence </w:t>
      </w:r>
      <w:r>
        <w:rPr>
          <w:b/>
          <w:color w:val="231F20"/>
          <w:spacing w:val="-3"/>
          <w:sz w:val="20"/>
        </w:rPr>
        <w:t>requires</w:t>
      </w:r>
      <w:r>
        <w:rPr>
          <w:b/>
          <w:color w:val="231F20"/>
          <w:spacing w:val="-28"/>
          <w:sz w:val="20"/>
        </w:rPr>
        <w:t> </w:t>
      </w:r>
      <w:r>
        <w:rPr>
          <w:b/>
          <w:color w:val="231F20"/>
          <w:sz w:val="20"/>
        </w:rPr>
        <w:t>plaintiff</w:t>
      </w:r>
      <w:r>
        <w:rPr>
          <w:b/>
          <w:color w:val="231F20"/>
          <w:spacing w:val="-28"/>
          <w:sz w:val="20"/>
        </w:rPr>
        <w:t> </w:t>
      </w:r>
      <w:r>
        <w:rPr>
          <w:b/>
          <w:color w:val="231F20"/>
          <w:sz w:val="20"/>
        </w:rPr>
        <w:t>to</w:t>
      </w:r>
      <w:r>
        <w:rPr>
          <w:b/>
          <w:color w:val="231F20"/>
          <w:spacing w:val="-28"/>
          <w:sz w:val="20"/>
        </w:rPr>
        <w:t> </w:t>
      </w:r>
      <w:r>
        <w:rPr>
          <w:b/>
          <w:color w:val="231F20"/>
          <w:sz w:val="20"/>
        </w:rPr>
        <w:t>demonstrate</w:t>
      </w:r>
      <w:r>
        <w:rPr>
          <w:b/>
          <w:color w:val="231F20"/>
          <w:spacing w:val="-28"/>
          <w:sz w:val="20"/>
        </w:rPr>
        <w:t> </w:t>
      </w:r>
      <w:r>
        <w:rPr>
          <w:b/>
          <w:color w:val="231F20"/>
          <w:sz w:val="20"/>
        </w:rPr>
        <w:t>that she and her proffered comparators were similarly situated in “all mate- rial</w:t>
      </w:r>
      <w:r>
        <w:rPr>
          <w:b/>
          <w:color w:val="231F20"/>
          <w:spacing w:val="-2"/>
          <w:sz w:val="20"/>
        </w:rPr>
        <w:t> </w:t>
      </w:r>
      <w:r>
        <w:rPr>
          <w:b/>
          <w:color w:val="231F20"/>
          <w:sz w:val="20"/>
        </w:rPr>
        <w:t>respects.”</w:t>
      </w:r>
    </w:p>
    <w:p>
      <w:pPr>
        <w:spacing w:before="8"/>
        <w:ind w:left="120" w:right="0" w:firstLine="0"/>
        <w:jc w:val="left"/>
        <w:rPr>
          <w:sz w:val="20"/>
        </w:rPr>
      </w:pPr>
      <w:r>
        <w:rPr>
          <w:b/>
          <w:i/>
          <w:color w:val="231F20"/>
          <w:spacing w:val="5"/>
          <w:sz w:val="20"/>
        </w:rPr>
        <w:t>Lewis </w:t>
      </w:r>
      <w:r>
        <w:rPr>
          <w:b/>
          <w:i/>
          <w:color w:val="231F20"/>
          <w:sz w:val="20"/>
        </w:rPr>
        <w:t>v.  </w:t>
      </w:r>
      <w:r>
        <w:rPr>
          <w:b/>
          <w:i/>
          <w:color w:val="231F20"/>
          <w:spacing w:val="5"/>
          <w:sz w:val="20"/>
        </w:rPr>
        <w:t>City </w:t>
      </w:r>
      <w:r>
        <w:rPr>
          <w:b/>
          <w:i/>
          <w:color w:val="231F20"/>
          <w:spacing w:val="3"/>
          <w:sz w:val="20"/>
        </w:rPr>
        <w:t>of  </w:t>
      </w:r>
      <w:r>
        <w:rPr>
          <w:b/>
          <w:i/>
          <w:color w:val="231F20"/>
          <w:spacing w:val="5"/>
          <w:sz w:val="20"/>
        </w:rPr>
        <w:t>Union </w:t>
      </w:r>
      <w:r>
        <w:rPr>
          <w:b/>
          <w:i/>
          <w:color w:val="231F20"/>
          <w:spacing w:val="4"/>
          <w:sz w:val="20"/>
        </w:rPr>
        <w:t>City,  </w:t>
      </w:r>
      <w:r>
        <w:rPr>
          <w:b/>
          <w:i/>
          <w:color w:val="231F20"/>
          <w:spacing w:val="11"/>
          <w:sz w:val="20"/>
        </w:rPr>
        <w:t> </w:t>
      </w:r>
      <w:r>
        <w:rPr>
          <w:b/>
          <w:i/>
          <w:color w:val="231F20"/>
          <w:spacing w:val="4"/>
          <w:sz w:val="20"/>
        </w:rPr>
        <w:t>GA</w:t>
      </w:r>
      <w:r>
        <w:rPr>
          <w:color w:val="231F20"/>
          <w:spacing w:val="4"/>
          <w:sz w:val="20"/>
        </w:rPr>
        <w:t>,</w:t>
      </w:r>
    </w:p>
    <w:p>
      <w:pPr>
        <w:pStyle w:val="BodyText"/>
        <w:spacing w:before="10"/>
        <w:ind w:left="120"/>
      </w:pPr>
      <w:r>
        <w:rPr>
          <w:color w:val="231F20"/>
          <w:spacing w:val="-3"/>
        </w:rPr>
        <w:t>--F.3d--,  </w:t>
      </w:r>
      <w:r>
        <w:rPr>
          <w:color w:val="231F20"/>
        </w:rPr>
        <w:t>2019 WL 1285058  </w:t>
      </w:r>
      <w:r>
        <w:rPr>
          <w:color w:val="231F20"/>
          <w:spacing w:val="-4"/>
        </w:rPr>
        <w:t>(11th</w:t>
      </w:r>
      <w:r>
        <w:rPr>
          <w:color w:val="231F20"/>
          <w:spacing w:val="10"/>
        </w:rPr>
        <w:t> </w:t>
      </w:r>
      <w:r>
        <w:rPr>
          <w:color w:val="231F20"/>
          <w:spacing w:val="-4"/>
        </w:rPr>
        <w:t>Cir.</w:t>
      </w:r>
    </w:p>
    <w:p>
      <w:pPr>
        <w:pStyle w:val="BodyText"/>
        <w:spacing w:before="10"/>
        <w:ind w:left="120"/>
      </w:pPr>
      <w:r>
        <w:rPr>
          <w:color w:val="231F20"/>
        </w:rPr>
        <w:t>2019).</w:t>
      </w:r>
    </w:p>
    <w:p>
      <w:pPr>
        <w:pStyle w:val="BodyText"/>
        <w:spacing w:line="240" w:lineRule="atLeast"/>
        <w:ind w:left="120" w:right="38" w:firstLine="180"/>
        <w:jc w:val="both"/>
        <w:rPr>
          <w:i/>
        </w:rPr>
      </w:pPr>
      <w:r>
        <w:rPr>
          <w:color w:val="231F20"/>
          <w:spacing w:val="6"/>
        </w:rPr>
        <w:t>In </w:t>
      </w:r>
      <w:r>
        <w:rPr>
          <w:color w:val="231F20"/>
          <w:spacing w:val="9"/>
        </w:rPr>
        <w:t>this </w:t>
      </w:r>
      <w:r>
        <w:rPr>
          <w:color w:val="231F20"/>
          <w:spacing w:val="11"/>
        </w:rPr>
        <w:t>discrimination </w:t>
      </w:r>
      <w:r>
        <w:rPr>
          <w:color w:val="231F20"/>
          <w:spacing w:val="9"/>
        </w:rPr>
        <w:t>case, </w:t>
      </w:r>
      <w:r>
        <w:rPr>
          <w:color w:val="231F20"/>
          <w:spacing w:val="12"/>
        </w:rPr>
        <w:t>the </w:t>
      </w:r>
      <w:r>
        <w:rPr>
          <w:color w:val="231F20"/>
        </w:rPr>
        <w:t>Eleventh Circuit rejected the plaintiff’s argument</w:t>
      </w:r>
      <w:r>
        <w:rPr>
          <w:color w:val="231F20"/>
          <w:spacing w:val="-18"/>
        </w:rPr>
        <w:t> </w:t>
      </w:r>
      <w:r>
        <w:rPr>
          <w:color w:val="231F20"/>
        </w:rPr>
        <w:t>that</w:t>
      </w:r>
      <w:r>
        <w:rPr>
          <w:color w:val="231F20"/>
          <w:spacing w:val="-17"/>
        </w:rPr>
        <w:t> </w:t>
      </w:r>
      <w:r>
        <w:rPr>
          <w:color w:val="231F20"/>
        </w:rPr>
        <w:t>the</w:t>
      </w:r>
      <w:r>
        <w:rPr>
          <w:color w:val="231F20"/>
          <w:spacing w:val="-17"/>
        </w:rPr>
        <w:t> </w:t>
      </w:r>
      <w:r>
        <w:rPr>
          <w:color w:val="231F20"/>
        </w:rPr>
        <w:t>comparator</w:t>
      </w:r>
      <w:r>
        <w:rPr>
          <w:color w:val="231F20"/>
          <w:spacing w:val="-17"/>
        </w:rPr>
        <w:t> </w:t>
      </w:r>
      <w:r>
        <w:rPr>
          <w:color w:val="231F20"/>
        </w:rPr>
        <w:t>analysis </w:t>
      </w:r>
      <w:r>
        <w:rPr>
          <w:color w:val="231F20"/>
          <w:spacing w:val="3"/>
        </w:rPr>
        <w:t>should </w:t>
      </w:r>
      <w:r>
        <w:rPr>
          <w:color w:val="231F20"/>
        </w:rPr>
        <w:t>be </w:t>
      </w:r>
      <w:r>
        <w:rPr>
          <w:color w:val="231F20"/>
          <w:spacing w:val="3"/>
        </w:rPr>
        <w:t>conducted </w:t>
      </w:r>
      <w:r>
        <w:rPr>
          <w:color w:val="231F20"/>
        </w:rPr>
        <w:t>at </w:t>
      </w:r>
      <w:r>
        <w:rPr>
          <w:color w:val="231F20"/>
          <w:spacing w:val="2"/>
        </w:rPr>
        <w:t>the </w:t>
      </w:r>
      <w:r>
        <w:rPr>
          <w:color w:val="231F20"/>
          <w:spacing w:val="4"/>
        </w:rPr>
        <w:t>tertiary </w:t>
      </w:r>
      <w:r>
        <w:rPr>
          <w:color w:val="231F20"/>
        </w:rPr>
        <w:t>pretext</w:t>
      </w:r>
      <w:r>
        <w:rPr>
          <w:color w:val="231F20"/>
          <w:spacing w:val="-21"/>
        </w:rPr>
        <w:t> </w:t>
      </w:r>
      <w:r>
        <w:rPr>
          <w:color w:val="231F20"/>
        </w:rPr>
        <w:t>stage.</w:t>
      </w:r>
      <w:r>
        <w:rPr>
          <w:color w:val="231F20"/>
          <w:spacing w:val="-20"/>
        </w:rPr>
        <w:t> </w:t>
      </w:r>
      <w:r>
        <w:rPr>
          <w:color w:val="231F20"/>
        </w:rPr>
        <w:t>While</w:t>
      </w:r>
      <w:r>
        <w:rPr>
          <w:color w:val="231F20"/>
          <w:spacing w:val="-20"/>
        </w:rPr>
        <w:t> </w:t>
      </w:r>
      <w:r>
        <w:rPr>
          <w:color w:val="231F20"/>
        </w:rPr>
        <w:t>noting</w:t>
      </w:r>
      <w:r>
        <w:rPr>
          <w:color w:val="231F20"/>
          <w:spacing w:val="-20"/>
        </w:rPr>
        <w:t> </w:t>
      </w:r>
      <w:r>
        <w:rPr>
          <w:color w:val="231F20"/>
        </w:rPr>
        <w:t>that</w:t>
      </w:r>
      <w:r>
        <w:rPr>
          <w:color w:val="231F20"/>
          <w:spacing w:val="-20"/>
        </w:rPr>
        <w:t> </w:t>
      </w:r>
      <w:r>
        <w:rPr>
          <w:color w:val="231F20"/>
        </w:rPr>
        <w:t>the</w:t>
      </w:r>
      <w:r>
        <w:rPr>
          <w:color w:val="231F20"/>
          <w:spacing w:val="-20"/>
        </w:rPr>
        <w:t> </w:t>
      </w:r>
      <w:r>
        <w:rPr>
          <w:color w:val="231F20"/>
        </w:rPr>
        <w:t>evi- dence</w:t>
      </w:r>
      <w:r>
        <w:rPr>
          <w:color w:val="231F20"/>
          <w:spacing w:val="-27"/>
        </w:rPr>
        <w:t> </w:t>
      </w:r>
      <w:r>
        <w:rPr>
          <w:color w:val="231F20"/>
        </w:rPr>
        <w:t>necessary</w:t>
      </w:r>
      <w:r>
        <w:rPr>
          <w:color w:val="231F20"/>
          <w:spacing w:val="-26"/>
        </w:rPr>
        <w:t> </w:t>
      </w:r>
      <w:r>
        <w:rPr>
          <w:color w:val="231F20"/>
        </w:rPr>
        <w:t>and</w:t>
      </w:r>
      <w:r>
        <w:rPr>
          <w:color w:val="231F20"/>
          <w:spacing w:val="-26"/>
        </w:rPr>
        <w:t> </w:t>
      </w:r>
      <w:r>
        <w:rPr>
          <w:color w:val="231F20"/>
        </w:rPr>
        <w:t>proper</w:t>
      </w:r>
      <w:r>
        <w:rPr>
          <w:color w:val="231F20"/>
          <w:spacing w:val="-26"/>
        </w:rPr>
        <w:t> </w:t>
      </w:r>
      <w:r>
        <w:rPr>
          <w:color w:val="231F20"/>
        </w:rPr>
        <w:t>to</w:t>
      </w:r>
      <w:r>
        <w:rPr>
          <w:color w:val="231F20"/>
          <w:spacing w:val="-26"/>
        </w:rPr>
        <w:t> </w:t>
      </w:r>
      <w:r>
        <w:rPr>
          <w:color w:val="231F20"/>
        </w:rPr>
        <w:t>support a</w:t>
      </w:r>
      <w:r>
        <w:rPr>
          <w:color w:val="231F20"/>
          <w:spacing w:val="-12"/>
        </w:rPr>
        <w:t> </w:t>
      </w:r>
      <w:r>
        <w:rPr>
          <w:color w:val="231F20"/>
        </w:rPr>
        <w:t>plaintiff’s</w:t>
      </w:r>
      <w:r>
        <w:rPr>
          <w:color w:val="231F20"/>
          <w:spacing w:val="-12"/>
        </w:rPr>
        <w:t> </w:t>
      </w:r>
      <w:r>
        <w:rPr>
          <w:color w:val="231F20"/>
        </w:rPr>
        <w:t>prima</w:t>
      </w:r>
      <w:r>
        <w:rPr>
          <w:color w:val="231F20"/>
          <w:spacing w:val="-12"/>
        </w:rPr>
        <w:t> </w:t>
      </w:r>
      <w:r>
        <w:rPr>
          <w:color w:val="231F20"/>
        </w:rPr>
        <w:t>facie</w:t>
      </w:r>
      <w:r>
        <w:rPr>
          <w:color w:val="231F20"/>
          <w:spacing w:val="-12"/>
        </w:rPr>
        <w:t> </w:t>
      </w:r>
      <w:r>
        <w:rPr>
          <w:color w:val="231F20"/>
        </w:rPr>
        <w:t>case,</w:t>
      </w:r>
      <w:r>
        <w:rPr>
          <w:color w:val="231F20"/>
          <w:spacing w:val="-12"/>
        </w:rPr>
        <w:t> </w:t>
      </w:r>
      <w:r>
        <w:rPr>
          <w:color w:val="231F20"/>
        </w:rPr>
        <w:t>under</w:t>
      </w:r>
      <w:r>
        <w:rPr>
          <w:color w:val="231F20"/>
          <w:spacing w:val="-12"/>
        </w:rPr>
        <w:t> </w:t>
      </w:r>
      <w:r>
        <w:rPr>
          <w:color w:val="231F20"/>
        </w:rPr>
        <w:t>the Supreme Court’s </w:t>
      </w:r>
      <w:r>
        <w:rPr>
          <w:i/>
          <w:color w:val="231F20"/>
        </w:rPr>
        <w:t>McDonnell Douglas </w:t>
      </w:r>
      <w:r>
        <w:rPr>
          <w:color w:val="231F20"/>
        </w:rPr>
        <w:t>burden-shifting</w:t>
      </w:r>
      <w:r>
        <w:rPr>
          <w:color w:val="231F20"/>
          <w:spacing w:val="-13"/>
        </w:rPr>
        <w:t> </w:t>
      </w:r>
      <w:r>
        <w:rPr>
          <w:color w:val="231F20"/>
        </w:rPr>
        <w:t>framework</w:t>
      </w:r>
      <w:r>
        <w:rPr>
          <w:color w:val="231F20"/>
          <w:spacing w:val="-13"/>
        </w:rPr>
        <w:t> </w:t>
      </w:r>
      <w:r>
        <w:rPr>
          <w:color w:val="231F20"/>
        </w:rPr>
        <w:t>in</w:t>
      </w:r>
      <w:r>
        <w:rPr>
          <w:color w:val="231F20"/>
          <w:spacing w:val="-12"/>
        </w:rPr>
        <w:t> </w:t>
      </w:r>
      <w:r>
        <w:rPr>
          <w:color w:val="231F20"/>
        </w:rPr>
        <w:t>an</w:t>
      </w:r>
      <w:r>
        <w:rPr>
          <w:color w:val="231F20"/>
          <w:spacing w:val="-13"/>
        </w:rPr>
        <w:t> </w:t>
      </w:r>
      <w:r>
        <w:rPr>
          <w:color w:val="231F20"/>
        </w:rPr>
        <w:t>action </w:t>
      </w:r>
      <w:r>
        <w:rPr>
          <w:color w:val="231F20"/>
          <w:spacing w:val="2"/>
        </w:rPr>
        <w:t>alleging intentional discrimination </w:t>
      </w:r>
      <w:r>
        <w:rPr>
          <w:color w:val="231F20"/>
          <w:spacing w:val="3"/>
        </w:rPr>
        <w:t>in </w:t>
      </w:r>
      <w:r>
        <w:rPr>
          <w:color w:val="231F20"/>
          <w:spacing w:val="-4"/>
        </w:rPr>
        <w:t>violation</w:t>
      </w:r>
      <w:r>
        <w:rPr>
          <w:color w:val="231F20"/>
          <w:spacing w:val="-23"/>
        </w:rPr>
        <w:t> </w:t>
      </w:r>
      <w:r>
        <w:rPr>
          <w:color w:val="231F20"/>
        </w:rPr>
        <w:t>of</w:t>
      </w:r>
      <w:r>
        <w:rPr>
          <w:color w:val="231F20"/>
          <w:spacing w:val="-25"/>
        </w:rPr>
        <w:t> </w:t>
      </w:r>
      <w:r>
        <w:rPr>
          <w:color w:val="231F20"/>
          <w:spacing w:val="-5"/>
        </w:rPr>
        <w:t>Title</w:t>
      </w:r>
      <w:r>
        <w:rPr>
          <w:color w:val="231F20"/>
          <w:spacing w:val="-22"/>
        </w:rPr>
        <w:t> </w:t>
      </w:r>
      <w:r>
        <w:rPr>
          <w:color w:val="231F20"/>
          <w:spacing w:val="-3"/>
        </w:rPr>
        <w:t>VII,</w:t>
      </w:r>
      <w:r>
        <w:rPr>
          <w:color w:val="231F20"/>
          <w:spacing w:val="-22"/>
        </w:rPr>
        <w:t> </w:t>
      </w:r>
      <w:r>
        <w:rPr>
          <w:color w:val="231F20"/>
          <w:spacing w:val="-3"/>
        </w:rPr>
        <w:t>the</w:t>
      </w:r>
      <w:r>
        <w:rPr>
          <w:color w:val="231F20"/>
          <w:spacing w:val="-22"/>
        </w:rPr>
        <w:t> </w:t>
      </w:r>
      <w:r>
        <w:rPr>
          <w:color w:val="231F20"/>
          <w:spacing w:val="-4"/>
        </w:rPr>
        <w:t>Equal</w:t>
      </w:r>
      <w:r>
        <w:rPr>
          <w:color w:val="231F20"/>
          <w:spacing w:val="-22"/>
        </w:rPr>
        <w:t> </w:t>
      </w:r>
      <w:r>
        <w:rPr>
          <w:color w:val="231F20"/>
          <w:spacing w:val="-4"/>
        </w:rPr>
        <w:t>Protection </w:t>
      </w:r>
      <w:r>
        <w:rPr>
          <w:color w:val="231F20"/>
        </w:rPr>
        <w:t>Clause,</w:t>
      </w:r>
      <w:r>
        <w:rPr>
          <w:color w:val="231F20"/>
          <w:spacing w:val="-18"/>
        </w:rPr>
        <w:t> </w:t>
      </w:r>
      <w:r>
        <w:rPr>
          <w:color w:val="231F20"/>
        </w:rPr>
        <w:t>or</w:t>
      </w:r>
      <w:r>
        <w:rPr>
          <w:color w:val="231F20"/>
          <w:spacing w:val="-18"/>
        </w:rPr>
        <w:t> </w:t>
      </w:r>
      <w:r>
        <w:rPr>
          <w:color w:val="231F20"/>
        </w:rPr>
        <w:t>§</w:t>
      </w:r>
      <w:r>
        <w:rPr>
          <w:color w:val="231F20"/>
          <w:spacing w:val="-18"/>
        </w:rPr>
        <w:t> </w:t>
      </w:r>
      <w:r>
        <w:rPr>
          <w:color w:val="231F20"/>
        </w:rPr>
        <w:t>1981,</w:t>
      </w:r>
      <w:r>
        <w:rPr>
          <w:color w:val="231F20"/>
          <w:spacing w:val="-19"/>
        </w:rPr>
        <w:t> </w:t>
      </w:r>
      <w:r>
        <w:rPr>
          <w:color w:val="231F20"/>
        </w:rPr>
        <w:t>may</w:t>
      </w:r>
      <w:r>
        <w:rPr>
          <w:color w:val="231F20"/>
          <w:spacing w:val="-17"/>
        </w:rPr>
        <w:t> </w:t>
      </w:r>
      <w:r>
        <w:rPr>
          <w:color w:val="231F20"/>
        </w:rPr>
        <w:t>be</w:t>
      </w:r>
      <w:r>
        <w:rPr>
          <w:color w:val="231F20"/>
          <w:spacing w:val="-18"/>
        </w:rPr>
        <w:t> </w:t>
      </w:r>
      <w:r>
        <w:rPr>
          <w:color w:val="231F20"/>
        </w:rPr>
        <w:t>used</w:t>
      </w:r>
      <w:r>
        <w:rPr>
          <w:color w:val="231F20"/>
          <w:spacing w:val="-18"/>
        </w:rPr>
        <w:t> </w:t>
      </w:r>
      <w:r>
        <w:rPr>
          <w:color w:val="231F20"/>
        </w:rPr>
        <w:t>later</w:t>
      </w:r>
      <w:r>
        <w:rPr>
          <w:color w:val="231F20"/>
          <w:spacing w:val="-19"/>
        </w:rPr>
        <w:t> </w:t>
      </w:r>
      <w:r>
        <w:rPr>
          <w:color w:val="231F20"/>
        </w:rPr>
        <w:t>in the framework to demonstrate that</w:t>
      </w:r>
      <w:r>
        <w:rPr>
          <w:color w:val="231F20"/>
          <w:spacing w:val="-30"/>
        </w:rPr>
        <w:t> </w:t>
      </w:r>
      <w:r>
        <w:rPr>
          <w:color w:val="231F20"/>
        </w:rPr>
        <w:t>the defendant’s</w:t>
      </w:r>
      <w:r>
        <w:rPr>
          <w:color w:val="231F20"/>
          <w:spacing w:val="-19"/>
        </w:rPr>
        <w:t> </w:t>
      </w:r>
      <w:r>
        <w:rPr>
          <w:color w:val="231F20"/>
        </w:rPr>
        <w:t>explanation</w:t>
      </w:r>
      <w:r>
        <w:rPr>
          <w:color w:val="231F20"/>
          <w:spacing w:val="-18"/>
        </w:rPr>
        <w:t> </w:t>
      </w:r>
      <w:r>
        <w:rPr>
          <w:color w:val="231F20"/>
        </w:rPr>
        <w:t>for</w:t>
      </w:r>
      <w:r>
        <w:rPr>
          <w:color w:val="231F20"/>
          <w:spacing w:val="-18"/>
        </w:rPr>
        <w:t> </w:t>
      </w:r>
      <w:r>
        <w:rPr>
          <w:color w:val="231F20"/>
        </w:rPr>
        <w:t>its</w:t>
      </w:r>
      <w:r>
        <w:rPr>
          <w:color w:val="231F20"/>
          <w:spacing w:val="-18"/>
        </w:rPr>
        <w:t> </w:t>
      </w:r>
      <w:r>
        <w:rPr>
          <w:color w:val="231F20"/>
        </w:rPr>
        <w:t>conduct was pretextual, the court held that the comparator</w:t>
      </w:r>
      <w:r>
        <w:rPr>
          <w:color w:val="231F20"/>
          <w:spacing w:val="-16"/>
        </w:rPr>
        <w:t> </w:t>
      </w:r>
      <w:r>
        <w:rPr>
          <w:color w:val="231F20"/>
        </w:rPr>
        <w:t>analysis</w:t>
      </w:r>
      <w:r>
        <w:rPr>
          <w:color w:val="231F20"/>
          <w:spacing w:val="-15"/>
        </w:rPr>
        <w:t> </w:t>
      </w:r>
      <w:r>
        <w:rPr>
          <w:color w:val="231F20"/>
        </w:rPr>
        <w:t>must</w:t>
      </w:r>
      <w:r>
        <w:rPr>
          <w:color w:val="231F20"/>
          <w:spacing w:val="-15"/>
        </w:rPr>
        <w:t> </w:t>
      </w:r>
      <w:r>
        <w:rPr>
          <w:color w:val="231F20"/>
        </w:rPr>
        <w:t>occur</w:t>
      </w:r>
      <w:r>
        <w:rPr>
          <w:color w:val="231F20"/>
          <w:spacing w:val="-15"/>
        </w:rPr>
        <w:t> </w:t>
      </w:r>
      <w:r>
        <w:rPr>
          <w:color w:val="231F20"/>
        </w:rPr>
        <w:t>in</w:t>
      </w:r>
      <w:r>
        <w:rPr>
          <w:color w:val="231F20"/>
          <w:spacing w:val="-15"/>
        </w:rPr>
        <w:t> </w:t>
      </w:r>
      <w:r>
        <w:rPr>
          <w:i/>
          <w:color w:val="231F20"/>
        </w:rPr>
        <w:t>Mc-</w:t>
      </w:r>
    </w:p>
    <w:p>
      <w:pPr>
        <w:pStyle w:val="BodyText"/>
        <w:spacing w:line="249" w:lineRule="auto" w:before="111"/>
        <w:ind w:left="120" w:right="38"/>
        <w:jc w:val="both"/>
      </w:pPr>
      <w:r>
        <w:rPr/>
        <w:br w:type="column"/>
      </w:r>
      <w:r>
        <w:rPr>
          <w:color w:val="231F20"/>
          <w:spacing w:val="2"/>
        </w:rPr>
        <w:t>where </w:t>
      </w:r>
      <w:r>
        <w:rPr>
          <w:color w:val="231F20"/>
        </w:rPr>
        <w:t>the </w:t>
      </w:r>
      <w:r>
        <w:rPr>
          <w:color w:val="231F20"/>
          <w:spacing w:val="2"/>
        </w:rPr>
        <w:t>comparator: </w:t>
      </w:r>
      <w:r>
        <w:rPr>
          <w:color w:val="231F20"/>
        </w:rPr>
        <w:t>(1) </w:t>
      </w:r>
      <w:r>
        <w:rPr>
          <w:color w:val="231F20"/>
          <w:spacing w:val="3"/>
        </w:rPr>
        <w:t>engaged </w:t>
      </w:r>
      <w:r>
        <w:rPr>
          <w:color w:val="231F20"/>
        </w:rPr>
        <w:t>in the </w:t>
      </w:r>
      <w:r>
        <w:rPr>
          <w:color w:val="231F20"/>
          <w:spacing w:val="2"/>
        </w:rPr>
        <w:t>same basic conduct; </w:t>
      </w:r>
      <w:r>
        <w:rPr>
          <w:color w:val="231F20"/>
        </w:rPr>
        <w:t>(2) </w:t>
      </w:r>
      <w:r>
        <w:rPr>
          <w:color w:val="231F20"/>
          <w:spacing w:val="3"/>
        </w:rPr>
        <w:t>was subjected </w:t>
      </w:r>
      <w:r>
        <w:rPr>
          <w:color w:val="231F20"/>
        </w:rPr>
        <w:t>to </w:t>
      </w:r>
      <w:r>
        <w:rPr>
          <w:color w:val="231F20"/>
          <w:spacing w:val="2"/>
        </w:rPr>
        <w:t>the </w:t>
      </w:r>
      <w:r>
        <w:rPr>
          <w:color w:val="231F20"/>
          <w:spacing w:val="3"/>
        </w:rPr>
        <w:t>same </w:t>
      </w:r>
      <w:r>
        <w:rPr>
          <w:color w:val="231F20"/>
          <w:spacing w:val="4"/>
        </w:rPr>
        <w:t>employment </w:t>
      </w:r>
      <w:r>
        <w:rPr>
          <w:color w:val="231F20"/>
        </w:rPr>
        <w:t>policy or rule; (3) was under the same supervisor;</w:t>
      </w:r>
      <w:r>
        <w:rPr>
          <w:color w:val="231F20"/>
          <w:spacing w:val="-25"/>
        </w:rPr>
        <w:t> </w:t>
      </w:r>
      <w:r>
        <w:rPr>
          <w:color w:val="231F20"/>
        </w:rPr>
        <w:t>and</w:t>
      </w:r>
      <w:r>
        <w:rPr>
          <w:color w:val="231F20"/>
          <w:spacing w:val="-24"/>
        </w:rPr>
        <w:t> </w:t>
      </w:r>
      <w:r>
        <w:rPr>
          <w:color w:val="231F20"/>
        </w:rPr>
        <w:t>(4)</w:t>
      </w:r>
      <w:r>
        <w:rPr>
          <w:color w:val="231F20"/>
          <w:spacing w:val="-24"/>
        </w:rPr>
        <w:t> </w:t>
      </w:r>
      <w:r>
        <w:rPr>
          <w:color w:val="231F20"/>
        </w:rPr>
        <w:t>shared</w:t>
      </w:r>
      <w:r>
        <w:rPr>
          <w:color w:val="231F20"/>
          <w:spacing w:val="-24"/>
        </w:rPr>
        <w:t> </w:t>
      </w:r>
      <w:r>
        <w:rPr>
          <w:color w:val="231F20"/>
        </w:rPr>
        <w:t>the</w:t>
      </w:r>
      <w:r>
        <w:rPr>
          <w:color w:val="231F20"/>
          <w:spacing w:val="-24"/>
        </w:rPr>
        <w:t> </w:t>
      </w:r>
      <w:r>
        <w:rPr>
          <w:color w:val="231F20"/>
          <w:spacing w:val="-3"/>
        </w:rPr>
        <w:t>plaintiff’s </w:t>
      </w:r>
      <w:r>
        <w:rPr>
          <w:color w:val="231F20"/>
        </w:rPr>
        <w:t>disciplinary</w:t>
      </w:r>
      <w:r>
        <w:rPr>
          <w:color w:val="231F20"/>
          <w:spacing w:val="-25"/>
        </w:rPr>
        <w:t> </w:t>
      </w:r>
      <w:r>
        <w:rPr>
          <w:color w:val="231F20"/>
          <w:spacing w:val="-4"/>
        </w:rPr>
        <w:t>history.</w:t>
      </w:r>
      <w:r>
        <w:rPr>
          <w:color w:val="231F20"/>
          <w:spacing w:val="-25"/>
        </w:rPr>
        <w:t> </w:t>
      </w:r>
      <w:r>
        <w:rPr>
          <w:color w:val="231F20"/>
        </w:rPr>
        <w:t>In</w:t>
      </w:r>
      <w:r>
        <w:rPr>
          <w:color w:val="231F20"/>
          <w:spacing w:val="-24"/>
        </w:rPr>
        <w:t> </w:t>
      </w:r>
      <w:r>
        <w:rPr>
          <w:color w:val="231F20"/>
        </w:rPr>
        <w:t>other</w:t>
      </w:r>
      <w:r>
        <w:rPr>
          <w:color w:val="231F20"/>
          <w:spacing w:val="-25"/>
        </w:rPr>
        <w:t> </w:t>
      </w:r>
      <w:r>
        <w:rPr>
          <w:color w:val="231F20"/>
        </w:rPr>
        <w:t>words,</w:t>
      </w:r>
      <w:r>
        <w:rPr>
          <w:color w:val="231F20"/>
          <w:spacing w:val="-24"/>
        </w:rPr>
        <w:t> </w:t>
      </w:r>
      <w:r>
        <w:rPr>
          <w:color w:val="231F20"/>
        </w:rPr>
        <w:t>said the Eleventh Circuit, quoting a recent Supreme Court decision, the persons “‘cannot</w:t>
      </w:r>
      <w:r>
        <w:rPr>
          <w:color w:val="231F20"/>
          <w:spacing w:val="-24"/>
        </w:rPr>
        <w:t> </w:t>
      </w:r>
      <w:r>
        <w:rPr>
          <w:color w:val="231F20"/>
        </w:rPr>
        <w:t>reasonably</w:t>
      </w:r>
      <w:r>
        <w:rPr>
          <w:color w:val="231F20"/>
          <w:spacing w:val="-24"/>
        </w:rPr>
        <w:t> </w:t>
      </w:r>
      <w:r>
        <w:rPr>
          <w:color w:val="231F20"/>
        </w:rPr>
        <w:t>be</w:t>
      </w:r>
      <w:r>
        <w:rPr>
          <w:color w:val="231F20"/>
          <w:spacing w:val="-23"/>
        </w:rPr>
        <w:t> </w:t>
      </w:r>
      <w:r>
        <w:rPr>
          <w:color w:val="231F20"/>
        </w:rPr>
        <w:t>distinguished.’”</w:t>
      </w:r>
    </w:p>
    <w:p>
      <w:pPr>
        <w:pStyle w:val="BodyText"/>
        <w:spacing w:before="4"/>
        <w:rPr>
          <w:sz w:val="15"/>
        </w:rPr>
      </w:pPr>
      <w:r>
        <w:rPr/>
        <w:pict>
          <v:shape style="position:absolute;margin-left:222pt;margin-top:11.275173pt;width:168pt;height:.1pt;mso-position-horizontal-relative:page;mso-position-vertical-relative:paragraph;z-index:-251531264;mso-wrap-distance-left:0;mso-wrap-distance-right:0" coordorigin="4440,226" coordsize="3360,0" path="m4440,226l7800,226e" filled="false" stroked="true" strokeweight="1pt" strokecolor="#231f20">
            <v:path arrowok="t"/>
            <v:stroke dashstyle="solid"/>
            <w10:wrap type="topAndBottom"/>
          </v:shape>
        </w:pict>
      </w:r>
    </w:p>
    <w:p>
      <w:pPr>
        <w:spacing w:before="0"/>
        <w:ind w:left="120" w:right="0" w:firstLine="0"/>
        <w:jc w:val="both"/>
        <w:rPr>
          <w:b/>
          <w:sz w:val="28"/>
        </w:rPr>
      </w:pPr>
      <w:r>
        <w:rPr>
          <w:b/>
          <w:color w:val="231F20"/>
          <w:sz w:val="28"/>
          <w:u w:val="single" w:color="231F20"/>
        </w:rPr>
        <w:t>         District Courts         </w:t>
      </w:r>
    </w:p>
    <w:p>
      <w:pPr>
        <w:spacing w:line="249" w:lineRule="auto" w:before="173"/>
        <w:ind w:left="120" w:right="39" w:firstLine="0"/>
        <w:jc w:val="both"/>
        <w:rPr>
          <w:b/>
          <w:sz w:val="20"/>
        </w:rPr>
      </w:pPr>
      <w:r>
        <w:rPr>
          <w:b/>
          <w:color w:val="231F20"/>
          <w:sz w:val="20"/>
        </w:rPr>
        <w:t>Federal enclave doctrine</w:t>
      </w:r>
      <w:r>
        <w:rPr>
          <w:b/>
          <w:color w:val="231F20"/>
          <w:spacing w:val="-27"/>
          <w:sz w:val="20"/>
        </w:rPr>
        <w:t> </w:t>
      </w:r>
      <w:r>
        <w:rPr>
          <w:b/>
          <w:color w:val="231F20"/>
          <w:sz w:val="20"/>
        </w:rPr>
        <w:t>prohibited plaintiff</w:t>
      </w:r>
      <w:r>
        <w:rPr>
          <w:b/>
          <w:color w:val="231F20"/>
          <w:spacing w:val="-21"/>
          <w:sz w:val="20"/>
        </w:rPr>
        <w:t> </w:t>
      </w:r>
      <w:r>
        <w:rPr>
          <w:b/>
          <w:color w:val="231F20"/>
          <w:sz w:val="20"/>
        </w:rPr>
        <w:t>from</w:t>
      </w:r>
      <w:r>
        <w:rPr>
          <w:b/>
          <w:color w:val="231F20"/>
          <w:spacing w:val="-21"/>
          <w:sz w:val="20"/>
        </w:rPr>
        <w:t> </w:t>
      </w:r>
      <w:r>
        <w:rPr>
          <w:b/>
          <w:color w:val="231F20"/>
          <w:sz w:val="20"/>
        </w:rPr>
        <w:t>bringing</w:t>
      </w:r>
      <w:r>
        <w:rPr>
          <w:b/>
          <w:color w:val="231F20"/>
          <w:spacing w:val="-21"/>
          <w:sz w:val="20"/>
        </w:rPr>
        <w:t> </w:t>
      </w:r>
      <w:r>
        <w:rPr>
          <w:b/>
          <w:color w:val="231F20"/>
          <w:sz w:val="20"/>
        </w:rPr>
        <w:t>suit</w:t>
      </w:r>
      <w:r>
        <w:rPr>
          <w:b/>
          <w:color w:val="231F20"/>
          <w:spacing w:val="-21"/>
          <w:sz w:val="20"/>
        </w:rPr>
        <w:t> </w:t>
      </w:r>
      <w:r>
        <w:rPr>
          <w:b/>
          <w:color w:val="231F20"/>
          <w:sz w:val="20"/>
        </w:rPr>
        <w:t>under</w:t>
      </w:r>
      <w:r>
        <w:rPr>
          <w:b/>
          <w:color w:val="231F20"/>
          <w:spacing w:val="-21"/>
          <w:sz w:val="20"/>
        </w:rPr>
        <w:t> </w:t>
      </w:r>
      <w:r>
        <w:rPr>
          <w:b/>
          <w:color w:val="231F20"/>
          <w:sz w:val="20"/>
        </w:rPr>
        <w:t>the </w:t>
      </w:r>
      <w:r>
        <w:rPr>
          <w:b/>
          <w:color w:val="231F20"/>
          <w:spacing w:val="3"/>
          <w:sz w:val="20"/>
        </w:rPr>
        <w:t>Fair Credit Reporting </w:t>
      </w:r>
      <w:r>
        <w:rPr>
          <w:b/>
          <w:color w:val="231F20"/>
          <w:spacing w:val="2"/>
          <w:sz w:val="20"/>
        </w:rPr>
        <w:t>Act </w:t>
      </w:r>
      <w:r>
        <w:rPr>
          <w:b/>
          <w:color w:val="231F20"/>
          <w:spacing w:val="4"/>
          <w:sz w:val="20"/>
        </w:rPr>
        <w:t>(FCRA) </w:t>
      </w:r>
      <w:r>
        <w:rPr>
          <w:b/>
          <w:color w:val="231F20"/>
          <w:spacing w:val="5"/>
          <w:sz w:val="20"/>
        </w:rPr>
        <w:t>based </w:t>
      </w:r>
      <w:r>
        <w:rPr>
          <w:b/>
          <w:color w:val="231F20"/>
          <w:spacing w:val="3"/>
          <w:sz w:val="20"/>
        </w:rPr>
        <w:t>on </w:t>
      </w:r>
      <w:r>
        <w:rPr>
          <w:b/>
          <w:color w:val="231F20"/>
          <w:spacing w:val="5"/>
          <w:sz w:val="20"/>
        </w:rPr>
        <w:t>actions </w:t>
      </w:r>
      <w:r>
        <w:rPr>
          <w:b/>
          <w:color w:val="231F20"/>
          <w:spacing w:val="6"/>
          <w:sz w:val="20"/>
        </w:rPr>
        <w:t>occurring </w:t>
      </w:r>
      <w:r>
        <w:rPr>
          <w:b/>
          <w:color w:val="231F20"/>
          <w:spacing w:val="3"/>
          <w:sz w:val="20"/>
        </w:rPr>
        <w:t>at </w:t>
      </w:r>
      <w:r>
        <w:rPr>
          <w:b/>
          <w:color w:val="231F20"/>
          <w:sz w:val="20"/>
        </w:rPr>
        <w:t>a </w:t>
      </w:r>
      <w:r>
        <w:rPr>
          <w:b/>
          <w:color w:val="231F20"/>
          <w:spacing w:val="2"/>
          <w:sz w:val="20"/>
        </w:rPr>
        <w:t>detention center situated </w:t>
      </w:r>
      <w:r>
        <w:rPr>
          <w:b/>
          <w:color w:val="231F20"/>
          <w:sz w:val="20"/>
        </w:rPr>
        <w:t>on </w:t>
      </w:r>
      <w:r>
        <w:rPr>
          <w:b/>
          <w:color w:val="231F20"/>
          <w:spacing w:val="3"/>
          <w:sz w:val="20"/>
        </w:rPr>
        <w:t>land </w:t>
      </w:r>
      <w:r>
        <w:rPr>
          <w:b/>
          <w:color w:val="231F20"/>
          <w:sz w:val="20"/>
        </w:rPr>
        <w:t>owned</w:t>
      </w:r>
      <w:r>
        <w:rPr>
          <w:b/>
          <w:color w:val="231F20"/>
          <w:spacing w:val="-10"/>
          <w:sz w:val="20"/>
        </w:rPr>
        <w:t> </w:t>
      </w:r>
      <w:r>
        <w:rPr>
          <w:b/>
          <w:color w:val="231F20"/>
          <w:sz w:val="20"/>
        </w:rPr>
        <w:t>by</w:t>
      </w:r>
      <w:r>
        <w:rPr>
          <w:b/>
          <w:color w:val="231F20"/>
          <w:spacing w:val="-9"/>
          <w:sz w:val="20"/>
        </w:rPr>
        <w:t> </w:t>
      </w:r>
      <w:r>
        <w:rPr>
          <w:b/>
          <w:color w:val="231F20"/>
          <w:sz w:val="20"/>
        </w:rPr>
        <w:t>the</w:t>
      </w:r>
      <w:r>
        <w:rPr>
          <w:b/>
          <w:color w:val="231F20"/>
          <w:spacing w:val="-10"/>
          <w:sz w:val="20"/>
        </w:rPr>
        <w:t> </w:t>
      </w:r>
      <w:r>
        <w:rPr>
          <w:b/>
          <w:color w:val="231F20"/>
          <w:sz w:val="20"/>
        </w:rPr>
        <w:t>United</w:t>
      </w:r>
      <w:r>
        <w:rPr>
          <w:b/>
          <w:color w:val="231F20"/>
          <w:spacing w:val="-10"/>
          <w:sz w:val="20"/>
        </w:rPr>
        <w:t> </w:t>
      </w:r>
      <w:r>
        <w:rPr>
          <w:b/>
          <w:color w:val="231F20"/>
          <w:sz w:val="20"/>
        </w:rPr>
        <w:t>States</w:t>
      </w:r>
      <w:r>
        <w:rPr>
          <w:b/>
          <w:color w:val="231F20"/>
          <w:spacing w:val="-10"/>
          <w:sz w:val="20"/>
        </w:rPr>
        <w:t> </w:t>
      </w:r>
      <w:r>
        <w:rPr>
          <w:b/>
          <w:color w:val="231F20"/>
          <w:sz w:val="20"/>
        </w:rPr>
        <w:t>govern- ment.</w:t>
      </w:r>
    </w:p>
    <w:p>
      <w:pPr>
        <w:spacing w:line="249" w:lineRule="auto" w:before="6"/>
        <w:ind w:left="120" w:right="39" w:firstLine="0"/>
        <w:jc w:val="both"/>
        <w:rPr>
          <w:sz w:val="20"/>
        </w:rPr>
      </w:pPr>
      <w:r>
        <w:rPr>
          <w:b/>
          <w:i/>
          <w:color w:val="231F20"/>
          <w:sz w:val="20"/>
        </w:rPr>
        <w:t>Aponte</w:t>
      </w:r>
      <w:r>
        <w:rPr>
          <w:b/>
          <w:i/>
          <w:color w:val="231F20"/>
          <w:spacing w:val="-20"/>
          <w:sz w:val="20"/>
        </w:rPr>
        <w:t> </w:t>
      </w:r>
      <w:r>
        <w:rPr>
          <w:b/>
          <w:i/>
          <w:color w:val="231F20"/>
          <w:spacing w:val="-6"/>
          <w:sz w:val="20"/>
        </w:rPr>
        <w:t>v.</w:t>
      </w:r>
      <w:r>
        <w:rPr>
          <w:b/>
          <w:i/>
          <w:color w:val="231F20"/>
          <w:spacing w:val="-25"/>
          <w:sz w:val="20"/>
        </w:rPr>
        <w:t> </w:t>
      </w:r>
      <w:r>
        <w:rPr>
          <w:b/>
          <w:i/>
          <w:color w:val="231F20"/>
          <w:sz w:val="20"/>
        </w:rPr>
        <w:t>Akima</w:t>
      </w:r>
      <w:r>
        <w:rPr>
          <w:b/>
          <w:i/>
          <w:color w:val="231F20"/>
          <w:spacing w:val="-19"/>
          <w:sz w:val="20"/>
        </w:rPr>
        <w:t> </w:t>
      </w:r>
      <w:r>
        <w:rPr>
          <w:b/>
          <w:i/>
          <w:color w:val="231F20"/>
          <w:sz w:val="20"/>
        </w:rPr>
        <w:t>Global</w:t>
      </w:r>
      <w:r>
        <w:rPr>
          <w:b/>
          <w:i/>
          <w:color w:val="231F20"/>
          <w:spacing w:val="-19"/>
          <w:sz w:val="20"/>
        </w:rPr>
        <w:t> </w:t>
      </w:r>
      <w:r>
        <w:rPr>
          <w:b/>
          <w:i/>
          <w:color w:val="231F20"/>
          <w:sz w:val="20"/>
        </w:rPr>
        <w:t>Servs.,</w:t>
      </w:r>
      <w:r>
        <w:rPr>
          <w:b/>
          <w:i/>
          <w:color w:val="231F20"/>
          <w:spacing w:val="-20"/>
          <w:sz w:val="20"/>
        </w:rPr>
        <w:t> </w:t>
      </w:r>
      <w:r>
        <w:rPr>
          <w:b/>
          <w:i/>
          <w:color w:val="231F20"/>
          <w:sz w:val="20"/>
        </w:rPr>
        <w:t>LLC</w:t>
      </w:r>
      <w:r>
        <w:rPr>
          <w:color w:val="231F20"/>
          <w:sz w:val="20"/>
        </w:rPr>
        <w:t>, </w:t>
      </w:r>
      <w:r>
        <w:rPr>
          <w:color w:val="231F20"/>
          <w:spacing w:val="2"/>
          <w:sz w:val="20"/>
        </w:rPr>
        <w:t>No. </w:t>
      </w:r>
      <w:r>
        <w:rPr>
          <w:color w:val="231F20"/>
          <w:spacing w:val="3"/>
          <w:sz w:val="20"/>
        </w:rPr>
        <w:t>17-cv-24184, 2019 </w:t>
      </w:r>
      <w:r>
        <w:rPr>
          <w:color w:val="231F20"/>
          <w:sz w:val="20"/>
        </w:rPr>
        <w:t>WL</w:t>
      </w:r>
      <w:r>
        <w:rPr>
          <w:color w:val="231F20"/>
          <w:spacing w:val="31"/>
          <w:sz w:val="20"/>
        </w:rPr>
        <w:t> </w:t>
      </w:r>
      <w:r>
        <w:rPr>
          <w:color w:val="231F20"/>
          <w:spacing w:val="4"/>
          <w:sz w:val="20"/>
        </w:rPr>
        <w:t>451797</w:t>
      </w:r>
    </w:p>
    <w:p>
      <w:pPr>
        <w:pStyle w:val="BodyText"/>
        <w:spacing w:before="1"/>
        <w:ind w:left="120"/>
        <w:jc w:val="both"/>
      </w:pPr>
      <w:r>
        <w:rPr>
          <w:color w:val="231F20"/>
        </w:rPr>
        <w:t>(S.D. Fla. Jan. 18, 2019).</w:t>
      </w:r>
    </w:p>
    <w:p>
      <w:pPr>
        <w:pStyle w:val="BodyText"/>
        <w:spacing w:line="249" w:lineRule="auto" w:before="10"/>
        <w:ind w:left="120" w:right="39" w:firstLine="180"/>
        <w:jc w:val="both"/>
      </w:pPr>
      <w:r>
        <w:rPr>
          <w:color w:val="231F20"/>
        </w:rPr>
        <w:t>The plaintiff, a former employee of defendant stationed at the Krome De- tention</w:t>
      </w:r>
      <w:r>
        <w:rPr>
          <w:color w:val="231F20"/>
          <w:spacing w:val="-21"/>
        </w:rPr>
        <w:t> </w:t>
      </w:r>
      <w:r>
        <w:rPr>
          <w:color w:val="231F20"/>
        </w:rPr>
        <w:t>Center</w:t>
      </w:r>
      <w:r>
        <w:rPr>
          <w:color w:val="231F20"/>
          <w:spacing w:val="-20"/>
        </w:rPr>
        <w:t> </w:t>
      </w:r>
      <w:r>
        <w:rPr>
          <w:color w:val="231F20"/>
        </w:rPr>
        <w:t>in</w:t>
      </w:r>
      <w:r>
        <w:rPr>
          <w:color w:val="231F20"/>
          <w:spacing w:val="-21"/>
        </w:rPr>
        <w:t> </w:t>
      </w:r>
      <w:r>
        <w:rPr>
          <w:color w:val="231F20"/>
        </w:rPr>
        <w:t>Miami,</w:t>
      </w:r>
      <w:r>
        <w:rPr>
          <w:color w:val="231F20"/>
          <w:spacing w:val="-20"/>
        </w:rPr>
        <w:t> </w:t>
      </w:r>
      <w:r>
        <w:rPr>
          <w:color w:val="231F20"/>
        </w:rPr>
        <w:t>filed</w:t>
      </w:r>
      <w:r>
        <w:rPr>
          <w:color w:val="231F20"/>
          <w:spacing w:val="-20"/>
        </w:rPr>
        <w:t> </w:t>
      </w:r>
      <w:r>
        <w:rPr>
          <w:color w:val="231F20"/>
        </w:rPr>
        <w:t>suit</w:t>
      </w:r>
      <w:r>
        <w:rPr>
          <w:color w:val="231F20"/>
          <w:spacing w:val="-21"/>
        </w:rPr>
        <w:t> </w:t>
      </w:r>
      <w:r>
        <w:rPr>
          <w:color w:val="231F20"/>
        </w:rPr>
        <w:t>under the </w:t>
      </w:r>
      <w:r>
        <w:rPr>
          <w:color w:val="231F20"/>
          <w:spacing w:val="2"/>
        </w:rPr>
        <w:t>FCRA. </w:t>
      </w:r>
      <w:r>
        <w:rPr>
          <w:color w:val="231F20"/>
        </w:rPr>
        <w:t>The </w:t>
      </w:r>
      <w:r>
        <w:rPr>
          <w:color w:val="231F20"/>
          <w:spacing w:val="2"/>
        </w:rPr>
        <w:t>court dismissed </w:t>
      </w:r>
      <w:r>
        <w:rPr>
          <w:color w:val="231F20"/>
          <w:spacing w:val="3"/>
        </w:rPr>
        <w:t>the </w:t>
      </w:r>
      <w:r>
        <w:rPr>
          <w:color w:val="231F20"/>
        </w:rPr>
        <w:t>FCRA</w:t>
      </w:r>
      <w:r>
        <w:rPr>
          <w:color w:val="231F20"/>
          <w:spacing w:val="-35"/>
        </w:rPr>
        <w:t> </w:t>
      </w:r>
      <w:r>
        <w:rPr>
          <w:color w:val="231F20"/>
        </w:rPr>
        <w:t>claims</w:t>
      </w:r>
      <w:r>
        <w:rPr>
          <w:color w:val="231F20"/>
          <w:spacing w:val="-25"/>
        </w:rPr>
        <w:t> </w:t>
      </w:r>
      <w:r>
        <w:rPr>
          <w:color w:val="231F20"/>
        </w:rPr>
        <w:t>under</w:t>
      </w:r>
      <w:r>
        <w:rPr>
          <w:color w:val="231F20"/>
          <w:spacing w:val="-26"/>
        </w:rPr>
        <w:t> </w:t>
      </w:r>
      <w:r>
        <w:rPr>
          <w:color w:val="231F20"/>
        </w:rPr>
        <w:t>the</w:t>
      </w:r>
      <w:r>
        <w:rPr>
          <w:color w:val="231F20"/>
          <w:spacing w:val="-25"/>
        </w:rPr>
        <w:t> </w:t>
      </w:r>
      <w:r>
        <w:rPr>
          <w:color w:val="231F20"/>
        </w:rPr>
        <w:t>federal</w:t>
      </w:r>
      <w:r>
        <w:rPr>
          <w:color w:val="231F20"/>
          <w:spacing w:val="-26"/>
        </w:rPr>
        <w:t> </w:t>
      </w:r>
      <w:r>
        <w:rPr>
          <w:color w:val="231F20"/>
        </w:rPr>
        <w:t>enclave doctrine. In dismissing the claims, the judge noted that the land upon which Krome was situated was ceded to the </w:t>
      </w:r>
      <w:r>
        <w:rPr>
          <w:color w:val="231F20"/>
          <w:spacing w:val="-3"/>
        </w:rPr>
        <w:t>United</w:t>
      </w:r>
      <w:r>
        <w:rPr>
          <w:color w:val="231F20"/>
          <w:spacing w:val="-19"/>
        </w:rPr>
        <w:t> </w:t>
      </w:r>
      <w:r>
        <w:rPr>
          <w:color w:val="231F20"/>
          <w:spacing w:val="-3"/>
        </w:rPr>
        <w:t>States</w:t>
      </w:r>
      <w:r>
        <w:rPr>
          <w:color w:val="231F20"/>
          <w:spacing w:val="-18"/>
        </w:rPr>
        <w:t> </w:t>
      </w:r>
      <w:r>
        <w:rPr>
          <w:color w:val="231F20"/>
          <w:spacing w:val="-3"/>
        </w:rPr>
        <w:t>prior</w:t>
      </w:r>
      <w:r>
        <w:rPr>
          <w:color w:val="231F20"/>
          <w:spacing w:val="-18"/>
        </w:rPr>
        <w:t> </w:t>
      </w:r>
      <w:r>
        <w:rPr>
          <w:color w:val="231F20"/>
        </w:rPr>
        <w:t>to</w:t>
      </w:r>
      <w:r>
        <w:rPr>
          <w:color w:val="231F20"/>
          <w:spacing w:val="-18"/>
        </w:rPr>
        <w:t> </w:t>
      </w:r>
      <w:r>
        <w:rPr>
          <w:color w:val="231F20"/>
        </w:rPr>
        <w:t>the</w:t>
      </w:r>
      <w:r>
        <w:rPr>
          <w:color w:val="231F20"/>
          <w:spacing w:val="-18"/>
        </w:rPr>
        <w:t> </w:t>
      </w:r>
      <w:r>
        <w:rPr>
          <w:color w:val="231F20"/>
          <w:spacing w:val="-3"/>
        </w:rPr>
        <w:t>FCRA</w:t>
      </w:r>
      <w:r>
        <w:rPr>
          <w:color w:val="231F20"/>
          <w:spacing w:val="-29"/>
        </w:rPr>
        <w:t> </w:t>
      </w:r>
      <w:r>
        <w:rPr>
          <w:color w:val="231F20"/>
          <w:spacing w:val="-3"/>
        </w:rPr>
        <w:t>becom- </w:t>
      </w:r>
      <w:r>
        <w:rPr>
          <w:color w:val="231F20"/>
        </w:rPr>
        <w:t>ing</w:t>
      </w:r>
      <w:r>
        <w:rPr>
          <w:color w:val="231F20"/>
          <w:spacing w:val="-23"/>
        </w:rPr>
        <w:t> </w:t>
      </w:r>
      <w:r>
        <w:rPr>
          <w:color w:val="231F20"/>
          <w:spacing w:val="-5"/>
        </w:rPr>
        <w:t>law.</w:t>
      </w:r>
      <w:r>
        <w:rPr>
          <w:color w:val="231F20"/>
          <w:spacing w:val="-32"/>
        </w:rPr>
        <w:t> </w:t>
      </w:r>
      <w:r>
        <w:rPr>
          <w:color w:val="231F20"/>
        </w:rPr>
        <w:t>As</w:t>
      </w:r>
      <w:r>
        <w:rPr>
          <w:color w:val="231F20"/>
          <w:spacing w:val="-21"/>
        </w:rPr>
        <w:t> </w:t>
      </w:r>
      <w:r>
        <w:rPr>
          <w:color w:val="231F20"/>
          <w:spacing w:val="-3"/>
        </w:rPr>
        <w:t>such,</w:t>
      </w:r>
      <w:r>
        <w:rPr>
          <w:color w:val="231F20"/>
          <w:spacing w:val="-23"/>
        </w:rPr>
        <w:t> </w:t>
      </w:r>
      <w:r>
        <w:rPr>
          <w:color w:val="231F20"/>
        </w:rPr>
        <w:t>the</w:t>
      </w:r>
      <w:r>
        <w:rPr>
          <w:color w:val="231F20"/>
          <w:spacing w:val="-21"/>
        </w:rPr>
        <w:t> </w:t>
      </w:r>
      <w:r>
        <w:rPr>
          <w:color w:val="231F20"/>
          <w:spacing w:val="-3"/>
        </w:rPr>
        <w:t>FCRA</w:t>
      </w:r>
      <w:r>
        <w:rPr>
          <w:color w:val="231F20"/>
          <w:spacing w:val="-33"/>
        </w:rPr>
        <w:t> </w:t>
      </w:r>
      <w:r>
        <w:rPr>
          <w:color w:val="231F20"/>
        </w:rPr>
        <w:t>had</w:t>
      </w:r>
      <w:r>
        <w:rPr>
          <w:color w:val="231F20"/>
          <w:spacing w:val="-22"/>
        </w:rPr>
        <w:t> </w:t>
      </w:r>
      <w:r>
        <w:rPr>
          <w:color w:val="231F20"/>
        </w:rPr>
        <w:t>no</w:t>
      </w:r>
      <w:r>
        <w:rPr>
          <w:color w:val="231F20"/>
          <w:spacing w:val="-22"/>
        </w:rPr>
        <w:t> </w:t>
      </w:r>
      <w:r>
        <w:rPr>
          <w:color w:val="231F20"/>
          <w:spacing w:val="-3"/>
        </w:rPr>
        <w:t>force </w:t>
      </w:r>
      <w:r>
        <w:rPr>
          <w:color w:val="231F20"/>
        </w:rPr>
        <w:t>at</w:t>
      </w:r>
      <w:r>
        <w:rPr>
          <w:color w:val="231F20"/>
          <w:spacing w:val="-2"/>
        </w:rPr>
        <w:t> </w:t>
      </w:r>
      <w:r>
        <w:rPr>
          <w:color w:val="231F20"/>
        </w:rPr>
        <w:t>Krome.</w:t>
      </w:r>
    </w:p>
    <w:p>
      <w:pPr>
        <w:spacing w:line="266" w:lineRule="auto" w:before="111"/>
        <w:ind w:left="120" w:right="296" w:firstLine="0"/>
        <w:jc w:val="both"/>
        <w:rPr>
          <w:sz w:val="20"/>
        </w:rPr>
      </w:pPr>
      <w:r>
        <w:rPr/>
        <w:br w:type="column"/>
      </w:r>
      <w:r>
        <w:rPr>
          <w:b/>
          <w:color w:val="231F20"/>
          <w:sz w:val="20"/>
        </w:rPr>
        <w:t>to include a narrative in the charge of discrimination, and there was </w:t>
      </w:r>
      <w:r>
        <w:rPr>
          <w:b/>
          <w:color w:val="231F20"/>
          <w:spacing w:val="-6"/>
          <w:sz w:val="20"/>
        </w:rPr>
        <w:t>no </w:t>
      </w:r>
      <w:r>
        <w:rPr>
          <w:b/>
          <w:color w:val="231F20"/>
          <w:sz w:val="20"/>
        </w:rPr>
        <w:t>temporal proximity between the</w:t>
      </w:r>
      <w:r>
        <w:rPr>
          <w:b/>
          <w:color w:val="231F20"/>
          <w:spacing w:val="-30"/>
          <w:sz w:val="20"/>
        </w:rPr>
        <w:t> </w:t>
      </w:r>
      <w:r>
        <w:rPr>
          <w:b/>
          <w:color w:val="231F20"/>
          <w:spacing w:val="-4"/>
          <w:sz w:val="20"/>
        </w:rPr>
        <w:t>ter- </w:t>
      </w:r>
      <w:r>
        <w:rPr>
          <w:b/>
          <w:color w:val="231F20"/>
          <w:sz w:val="20"/>
        </w:rPr>
        <w:t>mination and her protected </w:t>
      </w:r>
      <w:r>
        <w:rPr>
          <w:b/>
          <w:color w:val="231F20"/>
          <w:spacing w:val="-3"/>
          <w:sz w:val="20"/>
        </w:rPr>
        <w:t>activity. </w:t>
      </w:r>
      <w:r>
        <w:rPr>
          <w:b/>
          <w:i/>
          <w:color w:val="231F20"/>
          <w:sz w:val="20"/>
        </w:rPr>
        <w:t>Buade </w:t>
      </w:r>
      <w:r>
        <w:rPr>
          <w:b/>
          <w:i/>
          <w:color w:val="231F20"/>
          <w:spacing w:val="-6"/>
          <w:sz w:val="20"/>
        </w:rPr>
        <w:t>v. </w:t>
      </w:r>
      <w:r>
        <w:rPr>
          <w:b/>
          <w:i/>
          <w:color w:val="231F20"/>
          <w:spacing w:val="-3"/>
          <w:sz w:val="20"/>
        </w:rPr>
        <w:t>Terra </w:t>
      </w:r>
      <w:r>
        <w:rPr>
          <w:b/>
          <w:i/>
          <w:color w:val="231F20"/>
          <w:sz w:val="20"/>
        </w:rPr>
        <w:t>Group, LLC</w:t>
      </w:r>
      <w:r>
        <w:rPr>
          <w:color w:val="231F20"/>
          <w:sz w:val="20"/>
        </w:rPr>
        <w:t>, 259 So. 3d 219 (Fla. 3d DCA</w:t>
      </w:r>
      <w:r>
        <w:rPr>
          <w:color w:val="231F20"/>
          <w:spacing w:val="-17"/>
          <w:sz w:val="20"/>
        </w:rPr>
        <w:t> </w:t>
      </w:r>
      <w:r>
        <w:rPr>
          <w:color w:val="231F20"/>
          <w:sz w:val="20"/>
        </w:rPr>
        <w:t>2018).</w:t>
      </w:r>
    </w:p>
    <w:p>
      <w:pPr>
        <w:pStyle w:val="BodyText"/>
        <w:spacing w:line="266" w:lineRule="auto" w:before="2"/>
        <w:ind w:left="120" w:right="295" w:firstLine="180"/>
        <w:jc w:val="both"/>
      </w:pPr>
      <w:r>
        <w:rPr>
          <w:color w:val="231F20"/>
        </w:rPr>
        <w:t>A</w:t>
      </w:r>
      <w:r>
        <w:rPr>
          <w:color w:val="231F20"/>
          <w:spacing w:val="-35"/>
        </w:rPr>
        <w:t> </w:t>
      </w:r>
      <w:r>
        <w:rPr>
          <w:color w:val="231F20"/>
        </w:rPr>
        <w:t>terminated</w:t>
      </w:r>
      <w:r>
        <w:rPr>
          <w:color w:val="231F20"/>
          <w:spacing w:val="-24"/>
        </w:rPr>
        <w:t> </w:t>
      </w:r>
      <w:r>
        <w:rPr>
          <w:color w:val="231F20"/>
        </w:rPr>
        <w:t>employee</w:t>
      </w:r>
      <w:r>
        <w:rPr>
          <w:color w:val="231F20"/>
          <w:spacing w:val="-26"/>
        </w:rPr>
        <w:t> </w:t>
      </w:r>
      <w:r>
        <w:rPr>
          <w:color w:val="231F20"/>
        </w:rPr>
        <w:t>filed</w:t>
      </w:r>
      <w:r>
        <w:rPr>
          <w:color w:val="231F20"/>
          <w:spacing w:val="-25"/>
        </w:rPr>
        <w:t> </w:t>
      </w:r>
      <w:r>
        <w:rPr>
          <w:color w:val="231F20"/>
        </w:rPr>
        <w:t>a</w:t>
      </w:r>
      <w:r>
        <w:rPr>
          <w:color w:val="231F20"/>
          <w:spacing w:val="-26"/>
        </w:rPr>
        <w:t> </w:t>
      </w:r>
      <w:r>
        <w:rPr>
          <w:color w:val="231F20"/>
          <w:spacing w:val="-2"/>
        </w:rPr>
        <w:t>charge </w:t>
      </w:r>
      <w:r>
        <w:rPr>
          <w:color w:val="231F20"/>
        </w:rPr>
        <w:t>of discrimination. In the charge, she alleged sexual harassment but did</w:t>
      </w:r>
      <w:r>
        <w:rPr>
          <w:color w:val="231F20"/>
          <w:spacing w:val="-30"/>
        </w:rPr>
        <w:t> </w:t>
      </w:r>
      <w:r>
        <w:rPr>
          <w:color w:val="231F20"/>
        </w:rPr>
        <w:t>not check off “retaliation” and otherwise did</w:t>
      </w:r>
      <w:r>
        <w:rPr>
          <w:color w:val="231F20"/>
          <w:spacing w:val="-11"/>
        </w:rPr>
        <w:t> </w:t>
      </w:r>
      <w:r>
        <w:rPr>
          <w:color w:val="231F20"/>
        </w:rPr>
        <w:t>not</w:t>
      </w:r>
      <w:r>
        <w:rPr>
          <w:color w:val="231F20"/>
          <w:spacing w:val="-11"/>
        </w:rPr>
        <w:t> </w:t>
      </w:r>
      <w:r>
        <w:rPr>
          <w:color w:val="231F20"/>
        </w:rPr>
        <w:t>include</w:t>
      </w:r>
      <w:r>
        <w:rPr>
          <w:color w:val="231F20"/>
          <w:spacing w:val="-11"/>
        </w:rPr>
        <w:t> </w:t>
      </w:r>
      <w:r>
        <w:rPr>
          <w:color w:val="231F20"/>
        </w:rPr>
        <w:t>any</w:t>
      </w:r>
      <w:r>
        <w:rPr>
          <w:color w:val="231F20"/>
          <w:spacing w:val="-11"/>
        </w:rPr>
        <w:t> </w:t>
      </w:r>
      <w:r>
        <w:rPr>
          <w:color w:val="231F20"/>
        </w:rPr>
        <w:t>allegations</w:t>
      </w:r>
      <w:r>
        <w:rPr>
          <w:color w:val="231F20"/>
          <w:spacing w:val="-10"/>
        </w:rPr>
        <w:t> </w:t>
      </w:r>
      <w:r>
        <w:rPr>
          <w:color w:val="231F20"/>
        </w:rPr>
        <w:t>relating to retaliation. </w:t>
      </w:r>
      <w:r>
        <w:rPr>
          <w:color w:val="231F20"/>
          <w:spacing w:val="-3"/>
        </w:rPr>
        <w:t>Rather, </w:t>
      </w:r>
      <w:r>
        <w:rPr>
          <w:color w:val="231F20"/>
        </w:rPr>
        <w:t>she argued that any</w:t>
      </w:r>
      <w:r>
        <w:rPr>
          <w:color w:val="231F20"/>
          <w:spacing w:val="-21"/>
        </w:rPr>
        <w:t> </w:t>
      </w:r>
      <w:r>
        <w:rPr>
          <w:color w:val="231F20"/>
        </w:rPr>
        <w:t>investigation</w:t>
      </w:r>
      <w:r>
        <w:rPr>
          <w:color w:val="231F20"/>
          <w:spacing w:val="-20"/>
        </w:rPr>
        <w:t> </w:t>
      </w:r>
      <w:r>
        <w:rPr>
          <w:color w:val="231F20"/>
        </w:rPr>
        <w:t>into</w:t>
      </w:r>
      <w:r>
        <w:rPr>
          <w:color w:val="231F20"/>
          <w:spacing w:val="-20"/>
        </w:rPr>
        <w:t> </w:t>
      </w:r>
      <w:r>
        <w:rPr>
          <w:color w:val="231F20"/>
        </w:rPr>
        <w:t>the</w:t>
      </w:r>
      <w:r>
        <w:rPr>
          <w:color w:val="231F20"/>
          <w:spacing w:val="-20"/>
        </w:rPr>
        <w:t> </w:t>
      </w:r>
      <w:r>
        <w:rPr>
          <w:color w:val="231F20"/>
        </w:rPr>
        <w:t>charge</w:t>
      </w:r>
      <w:r>
        <w:rPr>
          <w:color w:val="231F20"/>
          <w:spacing w:val="-21"/>
        </w:rPr>
        <w:t> </w:t>
      </w:r>
      <w:r>
        <w:rPr>
          <w:color w:val="231F20"/>
        </w:rPr>
        <w:t>would have revealed the retaliation. The ap- pellate </w:t>
      </w:r>
      <w:r>
        <w:rPr>
          <w:color w:val="231F20"/>
          <w:spacing w:val="2"/>
        </w:rPr>
        <w:t>court rejected </w:t>
      </w:r>
      <w:r>
        <w:rPr>
          <w:color w:val="231F20"/>
        </w:rPr>
        <w:t>the argument, finding that the alleged retaliation pre- dated the filing of the charge, so that the</w:t>
      </w:r>
      <w:r>
        <w:rPr>
          <w:color w:val="231F20"/>
          <w:spacing w:val="-12"/>
        </w:rPr>
        <w:t> </w:t>
      </w:r>
      <w:r>
        <w:rPr>
          <w:color w:val="231F20"/>
        </w:rPr>
        <w:t>plaintiff</w:t>
      </w:r>
      <w:r>
        <w:rPr>
          <w:color w:val="231F20"/>
          <w:spacing w:val="-12"/>
        </w:rPr>
        <w:t> </w:t>
      </w:r>
      <w:r>
        <w:rPr>
          <w:color w:val="231F20"/>
        </w:rPr>
        <w:t>was</w:t>
      </w:r>
      <w:r>
        <w:rPr>
          <w:color w:val="231F20"/>
          <w:spacing w:val="-12"/>
        </w:rPr>
        <w:t> </w:t>
      </w:r>
      <w:r>
        <w:rPr>
          <w:color w:val="231F20"/>
        </w:rPr>
        <w:t>required</w:t>
      </w:r>
      <w:r>
        <w:rPr>
          <w:color w:val="231F20"/>
          <w:spacing w:val="-12"/>
        </w:rPr>
        <w:t> </w:t>
      </w:r>
      <w:r>
        <w:rPr>
          <w:color w:val="231F20"/>
        </w:rPr>
        <w:t>to</w:t>
      </w:r>
      <w:r>
        <w:rPr>
          <w:color w:val="231F20"/>
          <w:spacing w:val="-12"/>
        </w:rPr>
        <w:t> </w:t>
      </w:r>
      <w:r>
        <w:rPr>
          <w:color w:val="231F20"/>
        </w:rPr>
        <w:t>specifically include a supporting factual narrative. The</w:t>
      </w:r>
      <w:r>
        <w:rPr>
          <w:color w:val="231F20"/>
          <w:spacing w:val="-18"/>
        </w:rPr>
        <w:t> </w:t>
      </w:r>
      <w:r>
        <w:rPr>
          <w:color w:val="231F20"/>
          <w:spacing w:val="-3"/>
        </w:rPr>
        <w:t>court</w:t>
      </w:r>
      <w:r>
        <w:rPr>
          <w:color w:val="231F20"/>
          <w:spacing w:val="-18"/>
        </w:rPr>
        <w:t> </w:t>
      </w:r>
      <w:r>
        <w:rPr>
          <w:color w:val="231F20"/>
          <w:spacing w:val="-3"/>
        </w:rPr>
        <w:t>further</w:t>
      </w:r>
      <w:r>
        <w:rPr>
          <w:color w:val="231F20"/>
          <w:spacing w:val="-18"/>
        </w:rPr>
        <w:t> </w:t>
      </w:r>
      <w:r>
        <w:rPr>
          <w:color w:val="231F20"/>
          <w:spacing w:val="-3"/>
        </w:rPr>
        <w:t>found</w:t>
      </w:r>
      <w:r>
        <w:rPr>
          <w:color w:val="231F20"/>
          <w:spacing w:val="-18"/>
        </w:rPr>
        <w:t> </w:t>
      </w:r>
      <w:r>
        <w:rPr>
          <w:color w:val="231F20"/>
          <w:spacing w:val="-3"/>
        </w:rPr>
        <w:t>that</w:t>
      </w:r>
      <w:r>
        <w:rPr>
          <w:color w:val="231F20"/>
          <w:spacing w:val="-18"/>
        </w:rPr>
        <w:t> </w:t>
      </w:r>
      <w:r>
        <w:rPr>
          <w:color w:val="231F20"/>
        </w:rPr>
        <w:t>a</w:t>
      </w:r>
      <w:r>
        <w:rPr>
          <w:color w:val="231F20"/>
          <w:spacing w:val="-18"/>
        </w:rPr>
        <w:t> </w:t>
      </w:r>
      <w:r>
        <w:rPr>
          <w:color w:val="231F20"/>
          <w:spacing w:val="-3"/>
        </w:rPr>
        <w:t>more</w:t>
      </w:r>
      <w:r>
        <w:rPr>
          <w:color w:val="231F20"/>
          <w:spacing w:val="-17"/>
        </w:rPr>
        <w:t> </w:t>
      </w:r>
      <w:r>
        <w:rPr>
          <w:color w:val="231F20"/>
          <w:spacing w:val="-3"/>
        </w:rPr>
        <w:t>than </w:t>
      </w:r>
      <w:r>
        <w:rPr>
          <w:color w:val="231F20"/>
        </w:rPr>
        <w:t>six-month gap between the protected activity and the alleged retaliation</w:t>
      </w:r>
      <w:r>
        <w:rPr>
          <w:color w:val="231F20"/>
          <w:spacing w:val="-27"/>
        </w:rPr>
        <w:t> </w:t>
      </w:r>
      <w:r>
        <w:rPr>
          <w:color w:val="231F20"/>
        </w:rPr>
        <w:t>was insufficient to establish</w:t>
      </w:r>
      <w:r>
        <w:rPr>
          <w:color w:val="231F20"/>
          <w:spacing w:val="-8"/>
        </w:rPr>
        <w:t> </w:t>
      </w:r>
      <w:r>
        <w:rPr>
          <w:color w:val="231F20"/>
        </w:rPr>
        <w:t>causation.</w:t>
      </w:r>
    </w:p>
    <w:p>
      <w:pPr>
        <w:pStyle w:val="BodyText"/>
        <w:rPr>
          <w:sz w:val="22"/>
        </w:rPr>
      </w:pPr>
    </w:p>
    <w:p>
      <w:pPr>
        <w:pStyle w:val="BodyText"/>
        <w:spacing w:before="11"/>
        <w:rPr>
          <w:sz w:val="22"/>
        </w:rPr>
      </w:pPr>
    </w:p>
    <w:p>
      <w:pPr>
        <w:spacing w:line="266" w:lineRule="auto" w:before="0"/>
        <w:ind w:left="1720" w:right="289" w:firstLine="0"/>
        <w:jc w:val="both"/>
        <w:rPr>
          <w:i/>
          <w:sz w:val="20"/>
        </w:rPr>
      </w:pPr>
      <w:r>
        <w:rPr/>
        <w:pict>
          <v:group style="position:absolute;margin-left:402pt;margin-top:.799579pt;width:72pt;height:96pt;mso-position-horizontal-relative:page;mso-position-vertical-relative:paragraph;z-index:251786240" coordorigin="8040,16" coordsize="1440,1920">
            <v:shape style="position:absolute;left:8050;top:26;width:1420;height:1900" type="#_x0000_t75" stroked="false">
              <v:imagedata r:id="rId87" o:title=""/>
            </v:shape>
            <v:rect style="position:absolute;left:8050;top:26;width:1420;height:1900" filled="false" stroked="true" strokeweight="1pt" strokecolor="#231f20">
              <v:stroke dashstyle="solid"/>
            </v:rect>
            <w10:wrap type="none"/>
          </v:group>
        </w:pict>
      </w:r>
      <w:r>
        <w:rPr>
          <w:b/>
          <w:i/>
          <w:color w:val="231F20"/>
          <w:spacing w:val="-3"/>
          <w:sz w:val="20"/>
        </w:rPr>
        <w:t>Carlo</w:t>
      </w:r>
      <w:r>
        <w:rPr>
          <w:b/>
          <w:i/>
          <w:color w:val="231F20"/>
          <w:spacing w:val="-20"/>
          <w:sz w:val="20"/>
        </w:rPr>
        <w:t> </w:t>
      </w:r>
      <w:r>
        <w:rPr>
          <w:b/>
          <w:i/>
          <w:color w:val="231F20"/>
          <w:spacing w:val="-3"/>
          <w:sz w:val="20"/>
        </w:rPr>
        <w:t>Marichal</w:t>
      </w:r>
      <w:r>
        <w:rPr>
          <w:b/>
          <w:i/>
          <w:color w:val="231F20"/>
          <w:spacing w:val="-19"/>
          <w:sz w:val="20"/>
        </w:rPr>
        <w:t> </w:t>
      </w:r>
      <w:r>
        <w:rPr>
          <w:i/>
          <w:color w:val="231F20"/>
          <w:sz w:val="20"/>
        </w:rPr>
        <w:t>is</w:t>
      </w:r>
      <w:r>
        <w:rPr>
          <w:i/>
          <w:color w:val="231F20"/>
          <w:spacing w:val="-19"/>
          <w:sz w:val="20"/>
        </w:rPr>
        <w:t> </w:t>
      </w:r>
      <w:r>
        <w:rPr>
          <w:i/>
          <w:color w:val="231F20"/>
          <w:spacing w:val="-3"/>
          <w:sz w:val="20"/>
        </w:rPr>
        <w:t>an </w:t>
      </w:r>
      <w:r>
        <w:rPr>
          <w:i/>
          <w:color w:val="231F20"/>
          <w:sz w:val="20"/>
        </w:rPr>
        <w:t>employment</w:t>
      </w:r>
      <w:r>
        <w:rPr>
          <w:i/>
          <w:color w:val="231F20"/>
          <w:spacing w:val="-39"/>
          <w:sz w:val="20"/>
        </w:rPr>
        <w:t> </w:t>
      </w:r>
      <w:r>
        <w:rPr>
          <w:i/>
          <w:color w:val="231F20"/>
          <w:sz w:val="20"/>
        </w:rPr>
        <w:t>practic- es litigation</w:t>
      </w:r>
      <w:r>
        <w:rPr>
          <w:i/>
          <w:color w:val="231F20"/>
          <w:spacing w:val="-34"/>
          <w:sz w:val="20"/>
        </w:rPr>
        <w:t> </w:t>
      </w:r>
      <w:r>
        <w:rPr>
          <w:i/>
          <w:color w:val="231F20"/>
          <w:sz w:val="20"/>
        </w:rPr>
        <w:t>attorney at </w:t>
      </w:r>
      <w:r>
        <w:rPr>
          <w:i/>
          <w:color w:val="231F20"/>
          <w:spacing w:val="2"/>
          <w:sz w:val="20"/>
        </w:rPr>
        <w:t>the Law </w:t>
      </w:r>
      <w:r>
        <w:rPr>
          <w:i/>
          <w:color w:val="231F20"/>
          <w:spacing w:val="4"/>
          <w:sz w:val="20"/>
        </w:rPr>
        <w:t>Offices </w:t>
      </w:r>
      <w:r>
        <w:rPr>
          <w:i/>
          <w:color w:val="231F20"/>
          <w:spacing w:val="2"/>
          <w:sz w:val="20"/>
        </w:rPr>
        <w:t>of </w:t>
      </w:r>
      <w:r>
        <w:rPr>
          <w:i/>
          <w:color w:val="231F20"/>
          <w:spacing w:val="4"/>
          <w:sz w:val="20"/>
        </w:rPr>
        <w:t>Lorraine </w:t>
      </w:r>
      <w:r>
        <w:rPr>
          <w:i/>
          <w:color w:val="231F20"/>
          <w:spacing w:val="2"/>
          <w:sz w:val="20"/>
        </w:rPr>
        <w:t>Lester, </w:t>
      </w:r>
      <w:r>
        <w:rPr>
          <w:i/>
          <w:color w:val="231F20"/>
          <w:spacing w:val="7"/>
          <w:sz w:val="20"/>
        </w:rPr>
        <w:t>Litigation </w:t>
      </w:r>
      <w:r>
        <w:rPr>
          <w:i/>
          <w:color w:val="231F20"/>
          <w:spacing w:val="6"/>
          <w:sz w:val="20"/>
        </w:rPr>
        <w:t>Counsel </w:t>
      </w:r>
      <w:r>
        <w:rPr>
          <w:i/>
          <w:color w:val="231F20"/>
          <w:spacing w:val="3"/>
          <w:sz w:val="20"/>
        </w:rPr>
        <w:t>Offices </w:t>
      </w:r>
      <w:r>
        <w:rPr>
          <w:i/>
          <w:color w:val="231F20"/>
          <w:sz w:val="20"/>
        </w:rPr>
        <w:t>of </w:t>
      </w:r>
      <w:r>
        <w:rPr>
          <w:i/>
          <w:color w:val="231F20"/>
          <w:spacing w:val="2"/>
          <w:sz w:val="20"/>
        </w:rPr>
        <w:t>CNA</w:t>
      </w:r>
      <w:r>
        <w:rPr>
          <w:i/>
          <w:color w:val="231F20"/>
          <w:spacing w:val="-3"/>
          <w:sz w:val="20"/>
        </w:rPr>
        <w:t> </w:t>
      </w:r>
      <w:r>
        <w:rPr>
          <w:i/>
          <w:color w:val="231F20"/>
          <w:spacing w:val="2"/>
          <w:sz w:val="20"/>
        </w:rPr>
        <w:t>in-</w:t>
      </w:r>
    </w:p>
    <w:p>
      <w:pPr>
        <w:spacing w:after="0" w:line="266" w:lineRule="auto"/>
        <w:jc w:val="both"/>
        <w:rPr>
          <w:sz w:val="20"/>
        </w:rPr>
        <w:sectPr>
          <w:type w:val="continuous"/>
          <w:pgSz w:w="12240" w:h="15840"/>
          <w:pgMar w:top="500" w:bottom="280" w:left="720" w:right="540"/>
          <w:cols w:num="3" w:equalWidth="0">
            <w:col w:w="3534" w:space="66"/>
            <w:col w:w="3526" w:space="74"/>
            <w:col w:w="3780"/>
          </w:cols>
        </w:sectPr>
      </w:pPr>
    </w:p>
    <w:p>
      <w:pPr>
        <w:spacing w:line="249" w:lineRule="auto" w:before="10"/>
        <w:ind w:left="120" w:right="35" w:firstLine="0"/>
        <w:jc w:val="left"/>
        <w:rPr>
          <w:sz w:val="20"/>
        </w:rPr>
      </w:pPr>
      <w:r>
        <w:rPr>
          <w:i/>
          <w:color w:val="231F20"/>
          <w:sz w:val="20"/>
        </w:rPr>
        <w:t>Donnell Douglas’s </w:t>
      </w:r>
      <w:r>
        <w:rPr>
          <w:color w:val="231F20"/>
          <w:sz w:val="20"/>
        </w:rPr>
        <w:t>preliminary stage. Furthermore,</w:t>
      </w:r>
      <w:r>
        <w:rPr>
          <w:color w:val="231F20"/>
          <w:spacing w:val="-22"/>
          <w:sz w:val="20"/>
        </w:rPr>
        <w:t> </w:t>
      </w:r>
      <w:r>
        <w:rPr>
          <w:color w:val="231F20"/>
          <w:sz w:val="20"/>
        </w:rPr>
        <w:t>the</w:t>
      </w:r>
      <w:r>
        <w:rPr>
          <w:color w:val="231F20"/>
          <w:spacing w:val="-22"/>
          <w:sz w:val="20"/>
        </w:rPr>
        <w:t> </w:t>
      </w:r>
      <w:r>
        <w:rPr>
          <w:color w:val="231F20"/>
          <w:sz w:val="20"/>
        </w:rPr>
        <w:t>Eleventh</w:t>
      </w:r>
      <w:r>
        <w:rPr>
          <w:color w:val="231F20"/>
          <w:spacing w:val="-22"/>
          <w:sz w:val="20"/>
        </w:rPr>
        <w:t> </w:t>
      </w:r>
      <w:r>
        <w:rPr>
          <w:color w:val="231F20"/>
          <w:sz w:val="20"/>
        </w:rPr>
        <w:t>Circuit</w:t>
      </w:r>
      <w:r>
        <w:rPr>
          <w:color w:val="231F20"/>
          <w:spacing w:val="-22"/>
          <w:sz w:val="20"/>
        </w:rPr>
        <w:t> </w:t>
      </w:r>
      <w:r>
        <w:rPr>
          <w:color w:val="231F20"/>
          <w:sz w:val="20"/>
        </w:rPr>
        <w:t>clari-</w:t>
      </w:r>
    </w:p>
    <w:p>
      <w:pPr>
        <w:spacing w:line="252" w:lineRule="exact" w:before="0"/>
        <w:ind w:left="120" w:right="0" w:firstLine="0"/>
        <w:jc w:val="left"/>
        <w:rPr>
          <w:b/>
          <w:sz w:val="28"/>
        </w:rPr>
      </w:pPr>
      <w:r>
        <w:rPr/>
        <w:br w:type="column"/>
      </w:r>
      <w:r>
        <w:rPr>
          <w:b/>
          <w:color w:val="231F20"/>
          <w:spacing w:val="-9"/>
          <w:sz w:val="28"/>
        </w:rPr>
        <w:t>STATE </w:t>
      </w:r>
      <w:r>
        <w:rPr>
          <w:b/>
          <w:color w:val="231F20"/>
          <w:sz w:val="28"/>
        </w:rPr>
        <w:t>COURTS</w:t>
      </w:r>
    </w:p>
    <w:p>
      <w:pPr>
        <w:spacing w:before="105"/>
        <w:ind w:left="120" w:right="0" w:firstLine="0"/>
        <w:jc w:val="left"/>
        <w:rPr>
          <w:sz w:val="18"/>
        </w:rPr>
      </w:pPr>
      <w:r>
        <w:rPr/>
        <w:br w:type="column"/>
      </w:r>
      <w:r>
        <w:rPr>
          <w:color w:val="231F20"/>
          <w:sz w:val="18"/>
        </w:rPr>
        <w:t>C. MARICHAL</w:t>
      </w:r>
    </w:p>
    <w:p>
      <w:pPr>
        <w:spacing w:line="146" w:lineRule="exact" w:before="0"/>
        <w:ind w:left="120" w:right="0" w:firstLine="0"/>
        <w:jc w:val="left"/>
        <w:rPr>
          <w:i/>
          <w:sz w:val="20"/>
        </w:rPr>
      </w:pPr>
      <w:r>
        <w:rPr/>
        <w:br w:type="column"/>
      </w:r>
      <w:r>
        <w:rPr>
          <w:i/>
          <w:color w:val="231F20"/>
          <w:sz w:val="20"/>
        </w:rPr>
        <w:t>surance</w:t>
      </w:r>
      <w:r>
        <w:rPr>
          <w:i/>
          <w:color w:val="231F20"/>
          <w:spacing w:val="-32"/>
          <w:sz w:val="20"/>
        </w:rPr>
        <w:t> </w:t>
      </w:r>
      <w:r>
        <w:rPr>
          <w:i/>
          <w:color w:val="231F20"/>
          <w:sz w:val="20"/>
        </w:rPr>
        <w:t>companies.</w:t>
      </w:r>
    </w:p>
    <w:p>
      <w:pPr>
        <w:spacing w:before="25"/>
        <w:ind w:left="120" w:right="0" w:firstLine="0"/>
        <w:jc w:val="left"/>
        <w:rPr>
          <w:i/>
          <w:sz w:val="20"/>
        </w:rPr>
      </w:pPr>
      <w:r>
        <w:rPr>
          <w:i/>
          <w:color w:val="231F20"/>
          <w:sz w:val="20"/>
        </w:rPr>
        <w:t>He represents</w:t>
      </w:r>
      <w:r>
        <w:rPr>
          <w:i/>
          <w:color w:val="231F20"/>
          <w:spacing w:val="-9"/>
          <w:sz w:val="20"/>
        </w:rPr>
        <w:t> </w:t>
      </w:r>
      <w:r>
        <w:rPr>
          <w:i/>
          <w:color w:val="231F20"/>
          <w:sz w:val="20"/>
        </w:rPr>
        <w:t>man-</w:t>
      </w:r>
    </w:p>
    <w:p>
      <w:pPr>
        <w:spacing w:after="0"/>
        <w:jc w:val="left"/>
        <w:rPr>
          <w:sz w:val="20"/>
        </w:rPr>
        <w:sectPr>
          <w:type w:val="continuous"/>
          <w:pgSz w:w="12240" w:h="15840"/>
          <w:pgMar w:top="500" w:bottom="280" w:left="720" w:right="540"/>
          <w:cols w:num="4" w:equalWidth="0">
            <w:col w:w="3522" w:space="690"/>
            <w:col w:w="2297" w:space="834"/>
            <w:col w:w="1321" w:space="136"/>
            <w:col w:w="2180"/>
          </w:cols>
        </w:sectPr>
      </w:pPr>
    </w:p>
    <w:p>
      <w:pPr>
        <w:pStyle w:val="BodyText"/>
        <w:spacing w:before="1"/>
        <w:ind w:left="120"/>
      </w:pPr>
      <w:r>
        <w:rPr>
          <w:color w:val="231F20"/>
        </w:rPr>
        <w:t>fied that a person is similarly </w:t>
      </w:r>
      <w:r>
        <w:rPr>
          <w:color w:val="231F20"/>
          <w:spacing w:val="16"/>
        </w:rPr>
        <w:t> </w:t>
      </w:r>
      <w:r>
        <w:rPr>
          <w:color w:val="231F20"/>
        </w:rPr>
        <w:t>situated</w:t>
      </w:r>
    </w:p>
    <w:p>
      <w:pPr>
        <w:pStyle w:val="BodyText"/>
        <w:spacing w:before="10"/>
        <w:ind w:left="120"/>
      </w:pPr>
      <w:r>
        <w:rPr/>
        <w:pict>
          <v:group style="position:absolute;margin-left:42pt;margin-top:29.959488pt;width:528pt;height:153pt;mso-position-horizontal-relative:page;mso-position-vertical-relative:paragraph;z-index:-253063168" coordorigin="840,599" coordsize="10560,3060">
            <v:shape style="position:absolute;left:880;top:639;width:10480;height:2980" type="#_x0000_t75" stroked="false">
              <v:imagedata r:id="rId88" o:title=""/>
            </v:shape>
            <v:shape style="position:absolute;left:860;top:619;width:10520;height:3020" coordorigin="860,619" coordsize="10520,3020" path="m1100,639l1100,779,980,779,980,739,1020,739,1020,859,880,859,860,859,860,879,860,3379,860,3399,880,3399,1020,3399,1020,3519,980,3519,980,3479,1100,3479,1100,3619,1100,3639,1120,3639,11120,3639,11140,3639,11140,3619,11140,3479,11260,3479,11260,3519,11220,3519,11220,3399,11360,3399,11380,3399,11380,3379,11380,879,11380,859,11360,859,11220,859,11220,739,11260,739,11260,779,11140,779,11140,639,11140,619,11120,619,1120,619,1100,619,1100,639xe" filled="false" stroked="true" strokeweight="2pt" strokecolor="#231f20">
              <v:path arrowok="t"/>
              <v:stroke dashstyle="solid"/>
            </v:shape>
            <v:shape style="position:absolute;left:913;top:672;width:10414;height:2914" coordorigin="913,673" coordsize="10414,2914" path="m1153,673l1153,799,1153,833,1120,833,960,833,927,833,927,799,927,719,927,686,960,686,1040,686,1073,686,1073,719,1073,879,1073,913,1040,913,913,913,913,3346,1040,3346,1073,3346,1073,3379,1073,3539,1073,3573,1040,3573,960,3573,927,3573,927,3539,927,3459,927,3426,960,3426,1120,3426,1153,3426,1153,3459,1153,3586,11087,3586,11087,3459,11087,3426,11120,3426,11280,3426,11313,3426,11313,3459,11313,3539,11313,3573,11280,3573,11200,3573,11167,3573,11167,3539,11167,3379,11167,3346,11200,3346,11327,3346,11327,913,11200,913,11167,913,11167,879,11167,719,11167,686,11200,686,11280,686,11313,686,11313,719,11313,799,11313,833,11280,833,11120,833,11087,833,11087,799,11087,673,1153,673xe" filled="false" stroked="true" strokeweight=".668pt" strokecolor="#231f20">
              <v:path arrowok="t"/>
              <v:stroke dashstyle="solid"/>
            </v:shape>
            <v:shape style="position:absolute;left:1576;top:1775;width:2236;height:221" type="#_x0000_t75" stroked="false">
              <v:imagedata r:id="rId89" o:title=""/>
            </v:shape>
            <v:line style="position:absolute" from="4440,843" to="4440,3456" stroked="true" strokeweight=".5pt" strokecolor="#231f20">
              <v:stroke dashstyle="solid"/>
            </v:line>
            <w10:wrap type="none"/>
          </v:group>
        </w:pict>
      </w:r>
      <w:r>
        <w:rPr>
          <w:color w:val="231F20"/>
        </w:rPr>
        <w:t>“in all material respects” to the</w:t>
      </w:r>
      <w:r>
        <w:rPr>
          <w:color w:val="231F20"/>
          <w:spacing w:val="-19"/>
        </w:rPr>
        <w:t> </w:t>
      </w:r>
      <w:r>
        <w:rPr>
          <w:color w:val="231F20"/>
        </w:rPr>
        <w:t>plaintiff</w:t>
      </w:r>
    </w:p>
    <w:p>
      <w:pPr>
        <w:spacing w:line="185" w:lineRule="exact" w:before="0"/>
        <w:ind w:left="120" w:right="0" w:firstLine="0"/>
        <w:jc w:val="left"/>
        <w:rPr>
          <w:b/>
          <w:sz w:val="20"/>
        </w:rPr>
      </w:pPr>
      <w:r>
        <w:rPr/>
        <w:br w:type="column"/>
      </w:r>
      <w:r>
        <w:rPr>
          <w:b/>
          <w:color w:val="231F20"/>
          <w:sz w:val="20"/>
        </w:rPr>
        <w:t>Employee  did  not  exhaust</w:t>
      </w:r>
      <w:r>
        <w:rPr>
          <w:b/>
          <w:color w:val="231F20"/>
          <w:spacing w:val="-8"/>
          <w:sz w:val="20"/>
        </w:rPr>
        <w:t> </w:t>
      </w:r>
      <w:r>
        <w:rPr>
          <w:b/>
          <w:color w:val="231F20"/>
          <w:sz w:val="20"/>
        </w:rPr>
        <w:t>admin-</w:t>
      </w:r>
    </w:p>
    <w:p>
      <w:pPr>
        <w:spacing w:before="10"/>
        <w:ind w:left="120" w:right="0" w:firstLine="0"/>
        <w:jc w:val="left"/>
        <w:rPr>
          <w:b/>
          <w:sz w:val="20"/>
        </w:rPr>
      </w:pPr>
      <w:r>
        <w:rPr>
          <w:b/>
          <w:color w:val="231F20"/>
          <w:sz w:val="20"/>
        </w:rPr>
        <w:t>istrative remedies where she</w:t>
      </w:r>
      <w:r>
        <w:rPr>
          <w:b/>
          <w:color w:val="231F20"/>
          <w:spacing w:val="35"/>
          <w:sz w:val="20"/>
        </w:rPr>
        <w:t> </w:t>
      </w:r>
      <w:r>
        <w:rPr>
          <w:b/>
          <w:color w:val="231F20"/>
          <w:sz w:val="20"/>
        </w:rPr>
        <w:t>failed</w:t>
      </w:r>
    </w:p>
    <w:p>
      <w:pPr>
        <w:spacing w:line="169" w:lineRule="exact" w:before="0"/>
        <w:ind w:left="120" w:right="0" w:firstLine="0"/>
        <w:jc w:val="left"/>
        <w:rPr>
          <w:i/>
          <w:sz w:val="20"/>
        </w:rPr>
      </w:pPr>
      <w:r>
        <w:rPr/>
        <w:br w:type="column"/>
      </w:r>
      <w:r>
        <w:rPr>
          <w:i/>
          <w:color w:val="231F20"/>
          <w:sz w:val="20"/>
        </w:rPr>
        <w:t>agement in labor and employment</w:t>
      </w:r>
    </w:p>
    <w:p>
      <w:pPr>
        <w:spacing w:before="25"/>
        <w:ind w:left="120" w:right="0" w:firstLine="0"/>
        <w:jc w:val="left"/>
        <w:rPr>
          <w:i/>
          <w:sz w:val="20"/>
        </w:rPr>
      </w:pPr>
      <w:r>
        <w:rPr>
          <w:i/>
          <w:color w:val="231F20"/>
          <w:sz w:val="20"/>
        </w:rPr>
        <w:t>disputes.</w:t>
      </w:r>
    </w:p>
    <w:p>
      <w:pPr>
        <w:spacing w:after="0"/>
        <w:jc w:val="left"/>
        <w:rPr>
          <w:sz w:val="20"/>
        </w:rPr>
        <w:sectPr>
          <w:type w:val="continuous"/>
          <w:pgSz w:w="12240" w:h="15840"/>
          <w:pgMar w:top="500" w:bottom="280" w:left="720" w:right="540"/>
          <w:cols w:num="3" w:equalWidth="0">
            <w:col w:w="3521" w:space="79"/>
            <w:col w:w="3521" w:space="79"/>
            <w:col w:w="3780"/>
          </w:cols>
        </w:sectPr>
      </w:pPr>
    </w:p>
    <w:p>
      <w:pPr>
        <w:pStyle w:val="BodyText"/>
        <w:rPr>
          <w:i/>
        </w:rPr>
      </w:pPr>
    </w:p>
    <w:p>
      <w:pPr>
        <w:pStyle w:val="BodyText"/>
        <w:rPr>
          <w:i/>
          <w:sz w:val="16"/>
        </w:rPr>
      </w:pPr>
    </w:p>
    <w:p>
      <w:pPr>
        <w:spacing w:after="0"/>
        <w:rPr>
          <w:sz w:val="16"/>
        </w:rPr>
        <w:sectPr>
          <w:type w:val="continuous"/>
          <w:pgSz w:w="12240" w:h="15840"/>
          <w:pgMar w:top="500" w:bottom="280" w:left="720" w:right="540"/>
        </w:sectPr>
      </w:pPr>
    </w:p>
    <w:p>
      <w:pPr>
        <w:pStyle w:val="Heading4"/>
      </w:pPr>
      <w:r>
        <w:rPr>
          <w:color w:val="231F20"/>
        </w:rPr>
        <w:t>In Memoriam</w:t>
      </w:r>
    </w:p>
    <w:p>
      <w:pPr>
        <w:pStyle w:val="BodyText"/>
        <w:rPr>
          <w:b/>
          <w:sz w:val="50"/>
        </w:rPr>
      </w:pPr>
    </w:p>
    <w:p>
      <w:pPr>
        <w:pStyle w:val="Heading7"/>
        <w:spacing w:before="317"/>
        <w:ind w:left="432" w:firstLine="0"/>
        <w:rPr>
          <w:rFonts w:ascii="Arial"/>
        </w:rPr>
      </w:pPr>
      <w:r>
        <w:rPr>
          <w:rFonts w:ascii="Arial"/>
          <w:color w:val="231F20"/>
        </w:rPr>
        <w:t>Alan</w:t>
      </w:r>
      <w:r>
        <w:rPr>
          <w:rFonts w:ascii="Arial"/>
          <w:color w:val="231F20"/>
          <w:spacing w:val="-64"/>
        </w:rPr>
        <w:t> </w:t>
      </w:r>
      <w:r>
        <w:rPr>
          <w:rFonts w:ascii="Arial"/>
          <w:color w:val="231F20"/>
        </w:rPr>
        <w:t>M.</w:t>
      </w:r>
      <w:r>
        <w:rPr>
          <w:rFonts w:ascii="Arial"/>
          <w:color w:val="231F20"/>
          <w:spacing w:val="-64"/>
        </w:rPr>
        <w:t> </w:t>
      </w:r>
      <w:r>
        <w:rPr>
          <w:rFonts w:ascii="Arial"/>
          <w:color w:val="231F20"/>
        </w:rPr>
        <w:t>Gerlach,</w:t>
      </w:r>
      <w:r>
        <w:rPr>
          <w:rFonts w:ascii="Arial"/>
          <w:color w:val="231F20"/>
          <w:spacing w:val="-64"/>
        </w:rPr>
        <w:t> </w:t>
      </w:r>
      <w:r>
        <w:rPr>
          <w:rFonts w:ascii="Arial"/>
          <w:color w:val="231F20"/>
          <w:spacing w:val="-7"/>
        </w:rPr>
        <w:t>Jr.</w:t>
      </w:r>
    </w:p>
    <w:p>
      <w:pPr>
        <w:spacing w:before="93"/>
        <w:ind w:left="430" w:right="0" w:firstLine="0"/>
        <w:jc w:val="center"/>
        <w:rPr>
          <w:b/>
          <w:sz w:val="17"/>
        </w:rPr>
      </w:pPr>
      <w:r>
        <w:rPr>
          <w:b/>
          <w:color w:val="231F20"/>
          <w:sz w:val="17"/>
        </w:rPr>
        <w:t>December 6, 1949 – February 20, 2017</w:t>
      </w:r>
    </w:p>
    <w:p>
      <w:pPr>
        <w:spacing w:line="259" w:lineRule="auto" w:before="100"/>
        <w:ind w:left="391" w:right="693" w:firstLine="0"/>
        <w:jc w:val="both"/>
        <w:rPr>
          <w:sz w:val="16"/>
        </w:rPr>
      </w:pPr>
      <w:r>
        <w:rPr/>
        <w:br w:type="column"/>
      </w:r>
      <w:r>
        <w:rPr>
          <w:color w:val="231F20"/>
          <w:w w:val="105"/>
          <w:sz w:val="16"/>
        </w:rPr>
        <w:t>Longtime labor and employment law practitioner Alan Meyer Gerlach, Jr., age </w:t>
      </w:r>
      <w:r>
        <w:rPr>
          <w:color w:val="231F20"/>
          <w:spacing w:val="2"/>
          <w:w w:val="105"/>
          <w:sz w:val="16"/>
        </w:rPr>
        <w:t>69, </w:t>
      </w:r>
      <w:r>
        <w:rPr>
          <w:color w:val="231F20"/>
          <w:spacing w:val="50"/>
          <w:w w:val="105"/>
          <w:sz w:val="16"/>
        </w:rPr>
        <w:t> </w:t>
      </w:r>
      <w:r>
        <w:rPr>
          <w:color w:val="231F20"/>
          <w:w w:val="105"/>
          <w:sz w:val="16"/>
        </w:rPr>
        <w:t>of Orlando passed away February 20, 2019. He attended Harvard College, where  he graduated cum laude with honors, and then received his law degree from </w:t>
      </w:r>
      <w:r>
        <w:rPr>
          <w:color w:val="231F20"/>
          <w:spacing w:val="2"/>
          <w:w w:val="105"/>
          <w:sz w:val="16"/>
        </w:rPr>
        <w:t>the </w:t>
      </w:r>
      <w:r>
        <w:rPr>
          <w:color w:val="231F20"/>
          <w:w w:val="105"/>
          <w:sz w:val="16"/>
        </w:rPr>
        <w:t>University</w:t>
      </w:r>
      <w:r>
        <w:rPr>
          <w:color w:val="231F20"/>
          <w:spacing w:val="-15"/>
          <w:w w:val="105"/>
          <w:sz w:val="16"/>
        </w:rPr>
        <w:t> </w:t>
      </w:r>
      <w:r>
        <w:rPr>
          <w:color w:val="231F20"/>
          <w:w w:val="105"/>
          <w:sz w:val="16"/>
        </w:rPr>
        <w:t>of</w:t>
      </w:r>
      <w:r>
        <w:rPr>
          <w:color w:val="231F20"/>
          <w:spacing w:val="-14"/>
          <w:w w:val="105"/>
          <w:sz w:val="16"/>
        </w:rPr>
        <w:t> </w:t>
      </w:r>
      <w:r>
        <w:rPr>
          <w:color w:val="231F20"/>
          <w:w w:val="105"/>
          <w:sz w:val="16"/>
        </w:rPr>
        <w:t>Florida</w:t>
      </w:r>
      <w:r>
        <w:rPr>
          <w:color w:val="231F20"/>
          <w:spacing w:val="-14"/>
          <w:w w:val="105"/>
          <w:sz w:val="16"/>
        </w:rPr>
        <w:t> </w:t>
      </w:r>
      <w:r>
        <w:rPr>
          <w:color w:val="231F20"/>
          <w:w w:val="105"/>
          <w:sz w:val="16"/>
        </w:rPr>
        <w:t>College</w:t>
      </w:r>
      <w:r>
        <w:rPr>
          <w:color w:val="231F20"/>
          <w:spacing w:val="-14"/>
          <w:w w:val="105"/>
          <w:sz w:val="16"/>
        </w:rPr>
        <w:t> </w:t>
      </w:r>
      <w:r>
        <w:rPr>
          <w:color w:val="231F20"/>
          <w:w w:val="105"/>
          <w:sz w:val="16"/>
        </w:rPr>
        <w:t>of</w:t>
      </w:r>
      <w:r>
        <w:rPr>
          <w:color w:val="231F20"/>
          <w:spacing w:val="-14"/>
          <w:w w:val="105"/>
          <w:sz w:val="16"/>
        </w:rPr>
        <w:t> </w:t>
      </w:r>
      <w:r>
        <w:rPr>
          <w:color w:val="231F20"/>
          <w:spacing w:val="-3"/>
          <w:w w:val="105"/>
          <w:sz w:val="16"/>
        </w:rPr>
        <w:t>Law,</w:t>
      </w:r>
      <w:r>
        <w:rPr>
          <w:color w:val="231F20"/>
          <w:spacing w:val="-14"/>
          <w:w w:val="105"/>
          <w:sz w:val="16"/>
        </w:rPr>
        <w:t> </w:t>
      </w:r>
      <w:r>
        <w:rPr>
          <w:color w:val="231F20"/>
          <w:w w:val="105"/>
          <w:sz w:val="16"/>
        </w:rPr>
        <w:t>where</w:t>
      </w:r>
      <w:r>
        <w:rPr>
          <w:color w:val="231F20"/>
          <w:spacing w:val="-14"/>
          <w:w w:val="105"/>
          <w:sz w:val="16"/>
        </w:rPr>
        <w:t> </w:t>
      </w:r>
      <w:r>
        <w:rPr>
          <w:color w:val="231F20"/>
          <w:w w:val="105"/>
          <w:sz w:val="16"/>
        </w:rPr>
        <w:t>he</w:t>
      </w:r>
      <w:r>
        <w:rPr>
          <w:color w:val="231F20"/>
          <w:spacing w:val="-14"/>
          <w:w w:val="105"/>
          <w:sz w:val="16"/>
        </w:rPr>
        <w:t> </w:t>
      </w:r>
      <w:r>
        <w:rPr>
          <w:color w:val="231F20"/>
          <w:w w:val="105"/>
          <w:sz w:val="16"/>
        </w:rPr>
        <w:t>was</w:t>
      </w:r>
      <w:r>
        <w:rPr>
          <w:color w:val="231F20"/>
          <w:spacing w:val="-14"/>
          <w:w w:val="105"/>
          <w:sz w:val="16"/>
        </w:rPr>
        <w:t> </w:t>
      </w:r>
      <w:r>
        <w:rPr>
          <w:color w:val="231F20"/>
          <w:w w:val="105"/>
          <w:sz w:val="16"/>
        </w:rPr>
        <w:t>Executive</w:t>
      </w:r>
      <w:r>
        <w:rPr>
          <w:color w:val="231F20"/>
          <w:spacing w:val="-14"/>
          <w:w w:val="105"/>
          <w:sz w:val="16"/>
        </w:rPr>
        <w:t> </w:t>
      </w:r>
      <w:r>
        <w:rPr>
          <w:color w:val="231F20"/>
          <w:w w:val="105"/>
          <w:sz w:val="16"/>
        </w:rPr>
        <w:t>Editor</w:t>
      </w:r>
      <w:r>
        <w:rPr>
          <w:color w:val="231F20"/>
          <w:spacing w:val="-14"/>
          <w:w w:val="105"/>
          <w:sz w:val="16"/>
        </w:rPr>
        <w:t> </w:t>
      </w:r>
      <w:r>
        <w:rPr>
          <w:color w:val="231F20"/>
          <w:w w:val="105"/>
          <w:sz w:val="16"/>
        </w:rPr>
        <w:t>of</w:t>
      </w:r>
      <w:r>
        <w:rPr>
          <w:color w:val="231F20"/>
          <w:spacing w:val="-14"/>
          <w:w w:val="105"/>
          <w:sz w:val="16"/>
        </w:rPr>
        <w:t> </w:t>
      </w:r>
      <w:r>
        <w:rPr>
          <w:color w:val="231F20"/>
          <w:w w:val="105"/>
          <w:sz w:val="16"/>
        </w:rPr>
        <w:t>the</w:t>
      </w:r>
      <w:r>
        <w:rPr>
          <w:color w:val="231F20"/>
          <w:spacing w:val="-14"/>
          <w:w w:val="105"/>
          <w:sz w:val="16"/>
        </w:rPr>
        <w:t> </w:t>
      </w:r>
      <w:r>
        <w:rPr>
          <w:i/>
          <w:color w:val="231F20"/>
          <w:w w:val="105"/>
          <w:sz w:val="16"/>
        </w:rPr>
        <w:t>Law</w:t>
      </w:r>
      <w:r>
        <w:rPr>
          <w:i/>
          <w:color w:val="231F20"/>
          <w:spacing w:val="-14"/>
          <w:w w:val="105"/>
          <w:sz w:val="16"/>
        </w:rPr>
        <w:t> </w:t>
      </w:r>
      <w:r>
        <w:rPr>
          <w:i/>
          <w:color w:val="231F20"/>
          <w:w w:val="105"/>
          <w:sz w:val="16"/>
        </w:rPr>
        <w:t>Review</w:t>
      </w:r>
      <w:r>
        <w:rPr>
          <w:color w:val="231F20"/>
          <w:w w:val="105"/>
          <w:sz w:val="16"/>
        </w:rPr>
        <w:t>. He also received a degree from Southern Methodist University School of </w:t>
      </w:r>
      <w:r>
        <w:rPr>
          <w:color w:val="231F20"/>
          <w:spacing w:val="-3"/>
          <w:w w:val="105"/>
          <w:sz w:val="16"/>
        </w:rPr>
        <w:t>Law, </w:t>
      </w:r>
      <w:r>
        <w:rPr>
          <w:color w:val="231F20"/>
          <w:w w:val="105"/>
          <w:sz w:val="16"/>
        </w:rPr>
        <w:t>with a concentration in labor and employment </w:t>
      </w:r>
      <w:r>
        <w:rPr>
          <w:color w:val="231F20"/>
          <w:spacing w:val="-3"/>
          <w:w w:val="105"/>
          <w:sz w:val="16"/>
        </w:rPr>
        <w:t>law. </w:t>
      </w:r>
      <w:r>
        <w:rPr>
          <w:color w:val="231F20"/>
          <w:w w:val="105"/>
          <w:sz w:val="16"/>
        </w:rPr>
        <w:t>For years, Alan was in private practice with</w:t>
      </w:r>
      <w:r>
        <w:rPr>
          <w:color w:val="231F20"/>
          <w:spacing w:val="-13"/>
          <w:w w:val="105"/>
          <w:sz w:val="16"/>
        </w:rPr>
        <w:t> </w:t>
      </w:r>
      <w:r>
        <w:rPr>
          <w:color w:val="231F20"/>
          <w:w w:val="105"/>
          <w:sz w:val="16"/>
        </w:rPr>
        <w:t>local</w:t>
      </w:r>
      <w:r>
        <w:rPr>
          <w:color w:val="231F20"/>
          <w:spacing w:val="-12"/>
          <w:w w:val="105"/>
          <w:sz w:val="16"/>
        </w:rPr>
        <w:t> </w:t>
      </w:r>
      <w:r>
        <w:rPr>
          <w:color w:val="231F20"/>
          <w:w w:val="105"/>
          <w:sz w:val="16"/>
        </w:rPr>
        <w:t>and</w:t>
      </w:r>
      <w:r>
        <w:rPr>
          <w:color w:val="231F20"/>
          <w:spacing w:val="-13"/>
          <w:w w:val="105"/>
          <w:sz w:val="16"/>
        </w:rPr>
        <w:t> </w:t>
      </w:r>
      <w:r>
        <w:rPr>
          <w:color w:val="231F20"/>
          <w:w w:val="105"/>
          <w:sz w:val="16"/>
        </w:rPr>
        <w:t>national</w:t>
      </w:r>
      <w:r>
        <w:rPr>
          <w:color w:val="231F20"/>
          <w:spacing w:val="-12"/>
          <w:w w:val="105"/>
          <w:sz w:val="16"/>
        </w:rPr>
        <w:t> </w:t>
      </w:r>
      <w:r>
        <w:rPr>
          <w:color w:val="231F20"/>
          <w:w w:val="105"/>
          <w:sz w:val="16"/>
        </w:rPr>
        <w:t>law</w:t>
      </w:r>
      <w:r>
        <w:rPr>
          <w:color w:val="231F20"/>
          <w:spacing w:val="-12"/>
          <w:w w:val="105"/>
          <w:sz w:val="16"/>
        </w:rPr>
        <w:t> </w:t>
      </w:r>
      <w:r>
        <w:rPr>
          <w:color w:val="231F20"/>
          <w:w w:val="105"/>
          <w:sz w:val="16"/>
        </w:rPr>
        <w:t>firms</w:t>
      </w:r>
      <w:r>
        <w:rPr>
          <w:color w:val="231F20"/>
          <w:spacing w:val="-13"/>
          <w:w w:val="105"/>
          <w:sz w:val="16"/>
        </w:rPr>
        <w:t> </w:t>
      </w:r>
      <w:r>
        <w:rPr>
          <w:color w:val="231F20"/>
          <w:w w:val="105"/>
          <w:sz w:val="16"/>
        </w:rPr>
        <w:t>representing</w:t>
      </w:r>
      <w:r>
        <w:rPr>
          <w:color w:val="231F20"/>
          <w:spacing w:val="-12"/>
          <w:w w:val="105"/>
          <w:sz w:val="16"/>
        </w:rPr>
        <w:t> </w:t>
      </w:r>
      <w:r>
        <w:rPr>
          <w:color w:val="231F20"/>
          <w:w w:val="105"/>
          <w:sz w:val="16"/>
        </w:rPr>
        <w:t>management.</w:t>
      </w:r>
      <w:r>
        <w:rPr>
          <w:color w:val="231F20"/>
          <w:spacing w:val="-12"/>
          <w:w w:val="105"/>
          <w:sz w:val="16"/>
        </w:rPr>
        <w:t> </w:t>
      </w:r>
      <w:r>
        <w:rPr>
          <w:color w:val="231F20"/>
          <w:w w:val="105"/>
          <w:sz w:val="16"/>
        </w:rPr>
        <w:t>Prior</w:t>
      </w:r>
      <w:r>
        <w:rPr>
          <w:color w:val="231F20"/>
          <w:spacing w:val="-13"/>
          <w:w w:val="105"/>
          <w:sz w:val="16"/>
        </w:rPr>
        <w:t> </w:t>
      </w:r>
      <w:r>
        <w:rPr>
          <w:color w:val="231F20"/>
          <w:w w:val="105"/>
          <w:sz w:val="16"/>
        </w:rPr>
        <w:t>to</w:t>
      </w:r>
      <w:r>
        <w:rPr>
          <w:color w:val="231F20"/>
          <w:spacing w:val="-12"/>
          <w:w w:val="105"/>
          <w:sz w:val="16"/>
        </w:rPr>
        <w:t> </w:t>
      </w:r>
      <w:r>
        <w:rPr>
          <w:color w:val="231F20"/>
          <w:w w:val="105"/>
          <w:sz w:val="16"/>
        </w:rPr>
        <w:t>his</w:t>
      </w:r>
      <w:r>
        <w:rPr>
          <w:color w:val="231F20"/>
          <w:spacing w:val="-12"/>
          <w:w w:val="105"/>
          <w:sz w:val="16"/>
        </w:rPr>
        <w:t> </w:t>
      </w:r>
      <w:r>
        <w:rPr>
          <w:color w:val="231F20"/>
          <w:w w:val="105"/>
          <w:sz w:val="16"/>
        </w:rPr>
        <w:t>retirement</w:t>
      </w:r>
      <w:r>
        <w:rPr>
          <w:color w:val="231F20"/>
          <w:spacing w:val="-13"/>
          <w:w w:val="105"/>
          <w:sz w:val="16"/>
        </w:rPr>
        <w:t> </w:t>
      </w:r>
      <w:r>
        <w:rPr>
          <w:color w:val="231F20"/>
          <w:w w:val="105"/>
          <w:sz w:val="16"/>
        </w:rPr>
        <w:t>from AdventHealth,</w:t>
      </w:r>
      <w:r>
        <w:rPr>
          <w:color w:val="231F20"/>
          <w:spacing w:val="-25"/>
          <w:w w:val="105"/>
          <w:sz w:val="16"/>
        </w:rPr>
        <w:t> </w:t>
      </w:r>
      <w:r>
        <w:rPr>
          <w:color w:val="231F20"/>
          <w:w w:val="105"/>
          <w:sz w:val="16"/>
        </w:rPr>
        <w:t>he</w:t>
      </w:r>
      <w:r>
        <w:rPr>
          <w:color w:val="231F20"/>
          <w:spacing w:val="-23"/>
          <w:w w:val="105"/>
          <w:sz w:val="16"/>
        </w:rPr>
        <w:t> </w:t>
      </w:r>
      <w:r>
        <w:rPr>
          <w:color w:val="231F20"/>
          <w:w w:val="105"/>
          <w:sz w:val="16"/>
        </w:rPr>
        <w:t>was</w:t>
      </w:r>
      <w:r>
        <w:rPr>
          <w:color w:val="231F20"/>
          <w:spacing w:val="-23"/>
          <w:w w:val="105"/>
          <w:sz w:val="16"/>
        </w:rPr>
        <w:t> </w:t>
      </w:r>
      <w:r>
        <w:rPr>
          <w:color w:val="231F20"/>
          <w:w w:val="105"/>
          <w:sz w:val="16"/>
        </w:rPr>
        <w:t>the</w:t>
      </w:r>
      <w:r>
        <w:rPr>
          <w:color w:val="231F20"/>
          <w:spacing w:val="-24"/>
          <w:w w:val="105"/>
          <w:sz w:val="16"/>
        </w:rPr>
        <w:t> </w:t>
      </w:r>
      <w:r>
        <w:rPr>
          <w:color w:val="231F20"/>
          <w:w w:val="105"/>
          <w:sz w:val="16"/>
        </w:rPr>
        <w:t>Chief</w:t>
      </w:r>
      <w:r>
        <w:rPr>
          <w:color w:val="231F20"/>
          <w:spacing w:val="-24"/>
          <w:w w:val="105"/>
          <w:sz w:val="16"/>
        </w:rPr>
        <w:t> </w:t>
      </w:r>
      <w:r>
        <w:rPr>
          <w:color w:val="231F20"/>
          <w:w w:val="105"/>
          <w:sz w:val="16"/>
        </w:rPr>
        <w:t>Legal</w:t>
      </w:r>
      <w:r>
        <w:rPr>
          <w:color w:val="231F20"/>
          <w:spacing w:val="-23"/>
          <w:w w:val="105"/>
          <w:sz w:val="16"/>
        </w:rPr>
        <w:t> </w:t>
      </w:r>
      <w:r>
        <w:rPr>
          <w:color w:val="231F20"/>
          <w:w w:val="105"/>
          <w:sz w:val="16"/>
        </w:rPr>
        <w:t>Officer</w:t>
      </w:r>
      <w:r>
        <w:rPr>
          <w:color w:val="231F20"/>
          <w:spacing w:val="-24"/>
          <w:w w:val="105"/>
          <w:sz w:val="16"/>
        </w:rPr>
        <w:t> </w:t>
      </w:r>
      <w:r>
        <w:rPr>
          <w:color w:val="231F20"/>
          <w:w w:val="105"/>
          <w:sz w:val="16"/>
        </w:rPr>
        <w:t>and</w:t>
      </w:r>
      <w:r>
        <w:rPr>
          <w:color w:val="231F20"/>
          <w:spacing w:val="-23"/>
          <w:w w:val="105"/>
          <w:sz w:val="16"/>
        </w:rPr>
        <w:t> </w:t>
      </w:r>
      <w:r>
        <w:rPr>
          <w:color w:val="231F20"/>
          <w:w w:val="105"/>
          <w:sz w:val="16"/>
        </w:rPr>
        <w:t>senior</w:t>
      </w:r>
      <w:r>
        <w:rPr>
          <w:color w:val="231F20"/>
          <w:spacing w:val="-24"/>
          <w:w w:val="105"/>
          <w:sz w:val="16"/>
        </w:rPr>
        <w:t> </w:t>
      </w:r>
      <w:r>
        <w:rPr>
          <w:color w:val="231F20"/>
          <w:w w:val="105"/>
          <w:sz w:val="16"/>
        </w:rPr>
        <w:t>in-house</w:t>
      </w:r>
      <w:r>
        <w:rPr>
          <w:color w:val="231F20"/>
          <w:spacing w:val="-23"/>
          <w:w w:val="105"/>
          <w:sz w:val="16"/>
        </w:rPr>
        <w:t> </w:t>
      </w:r>
      <w:r>
        <w:rPr>
          <w:color w:val="231F20"/>
          <w:w w:val="105"/>
          <w:sz w:val="16"/>
        </w:rPr>
        <w:t>labor</w:t>
      </w:r>
      <w:r>
        <w:rPr>
          <w:color w:val="231F20"/>
          <w:spacing w:val="-23"/>
          <w:w w:val="105"/>
          <w:sz w:val="16"/>
        </w:rPr>
        <w:t> </w:t>
      </w:r>
      <w:r>
        <w:rPr>
          <w:color w:val="231F20"/>
          <w:w w:val="105"/>
          <w:sz w:val="16"/>
        </w:rPr>
        <w:t>and</w:t>
      </w:r>
      <w:r>
        <w:rPr>
          <w:color w:val="231F20"/>
          <w:spacing w:val="-24"/>
          <w:w w:val="105"/>
          <w:sz w:val="16"/>
        </w:rPr>
        <w:t> </w:t>
      </w:r>
      <w:r>
        <w:rPr>
          <w:color w:val="231F20"/>
          <w:w w:val="105"/>
          <w:sz w:val="16"/>
        </w:rPr>
        <w:t>employment counsel.</w:t>
      </w:r>
      <w:r>
        <w:rPr>
          <w:color w:val="231F20"/>
          <w:spacing w:val="-13"/>
          <w:w w:val="105"/>
          <w:sz w:val="16"/>
        </w:rPr>
        <w:t> </w:t>
      </w:r>
      <w:r>
        <w:rPr>
          <w:color w:val="231F20"/>
          <w:w w:val="105"/>
          <w:sz w:val="16"/>
        </w:rPr>
        <w:t>He</w:t>
      </w:r>
      <w:r>
        <w:rPr>
          <w:color w:val="231F20"/>
          <w:spacing w:val="-12"/>
          <w:w w:val="105"/>
          <w:sz w:val="16"/>
        </w:rPr>
        <w:t> </w:t>
      </w:r>
      <w:r>
        <w:rPr>
          <w:color w:val="231F20"/>
          <w:w w:val="105"/>
          <w:sz w:val="16"/>
        </w:rPr>
        <w:t>was</w:t>
      </w:r>
      <w:r>
        <w:rPr>
          <w:color w:val="231F20"/>
          <w:spacing w:val="-13"/>
          <w:w w:val="105"/>
          <w:sz w:val="16"/>
        </w:rPr>
        <w:t> </w:t>
      </w:r>
      <w:r>
        <w:rPr>
          <w:color w:val="231F20"/>
          <w:w w:val="105"/>
          <w:sz w:val="16"/>
        </w:rPr>
        <w:t>Board</w:t>
      </w:r>
      <w:r>
        <w:rPr>
          <w:color w:val="231F20"/>
          <w:spacing w:val="-12"/>
          <w:w w:val="105"/>
          <w:sz w:val="16"/>
        </w:rPr>
        <w:t> </w:t>
      </w:r>
      <w:r>
        <w:rPr>
          <w:color w:val="231F20"/>
          <w:w w:val="105"/>
          <w:sz w:val="16"/>
        </w:rPr>
        <w:t>Certified</w:t>
      </w:r>
      <w:r>
        <w:rPr>
          <w:color w:val="231F20"/>
          <w:spacing w:val="-13"/>
          <w:w w:val="105"/>
          <w:sz w:val="16"/>
        </w:rPr>
        <w:t> </w:t>
      </w:r>
      <w:r>
        <w:rPr>
          <w:color w:val="231F20"/>
          <w:w w:val="105"/>
          <w:sz w:val="16"/>
        </w:rPr>
        <w:t>by</w:t>
      </w:r>
      <w:r>
        <w:rPr>
          <w:color w:val="231F20"/>
          <w:spacing w:val="-15"/>
          <w:w w:val="105"/>
          <w:sz w:val="16"/>
        </w:rPr>
        <w:t> </w:t>
      </w:r>
      <w:r>
        <w:rPr>
          <w:color w:val="231F20"/>
          <w:w w:val="105"/>
          <w:sz w:val="16"/>
        </w:rPr>
        <w:t>The</w:t>
      </w:r>
      <w:r>
        <w:rPr>
          <w:color w:val="231F20"/>
          <w:spacing w:val="-12"/>
          <w:w w:val="105"/>
          <w:sz w:val="16"/>
        </w:rPr>
        <w:t> </w:t>
      </w:r>
      <w:r>
        <w:rPr>
          <w:color w:val="231F20"/>
          <w:w w:val="105"/>
          <w:sz w:val="16"/>
        </w:rPr>
        <w:t>Florida</w:t>
      </w:r>
      <w:r>
        <w:rPr>
          <w:color w:val="231F20"/>
          <w:spacing w:val="-13"/>
          <w:w w:val="105"/>
          <w:sz w:val="16"/>
        </w:rPr>
        <w:t> </w:t>
      </w:r>
      <w:r>
        <w:rPr>
          <w:color w:val="231F20"/>
          <w:w w:val="105"/>
          <w:sz w:val="16"/>
        </w:rPr>
        <w:t>Bar</w:t>
      </w:r>
      <w:r>
        <w:rPr>
          <w:color w:val="231F20"/>
          <w:spacing w:val="-12"/>
          <w:w w:val="105"/>
          <w:sz w:val="16"/>
        </w:rPr>
        <w:t> </w:t>
      </w:r>
      <w:r>
        <w:rPr>
          <w:color w:val="231F20"/>
          <w:w w:val="105"/>
          <w:sz w:val="16"/>
        </w:rPr>
        <w:t>in</w:t>
      </w:r>
      <w:r>
        <w:rPr>
          <w:color w:val="231F20"/>
          <w:spacing w:val="-13"/>
          <w:w w:val="105"/>
          <w:sz w:val="16"/>
        </w:rPr>
        <w:t> </w:t>
      </w:r>
      <w:r>
        <w:rPr>
          <w:color w:val="231F20"/>
          <w:w w:val="105"/>
          <w:sz w:val="16"/>
        </w:rPr>
        <w:t>Labor</w:t>
      </w:r>
      <w:r>
        <w:rPr>
          <w:color w:val="231F20"/>
          <w:spacing w:val="-12"/>
          <w:w w:val="105"/>
          <w:sz w:val="16"/>
        </w:rPr>
        <w:t> </w:t>
      </w:r>
      <w:r>
        <w:rPr>
          <w:color w:val="231F20"/>
          <w:w w:val="105"/>
          <w:sz w:val="16"/>
        </w:rPr>
        <w:t>and</w:t>
      </w:r>
      <w:r>
        <w:rPr>
          <w:color w:val="231F20"/>
          <w:spacing w:val="-13"/>
          <w:w w:val="105"/>
          <w:sz w:val="16"/>
        </w:rPr>
        <w:t> </w:t>
      </w:r>
      <w:r>
        <w:rPr>
          <w:color w:val="231F20"/>
          <w:w w:val="105"/>
          <w:sz w:val="16"/>
        </w:rPr>
        <w:t>Employment</w:t>
      </w:r>
      <w:r>
        <w:rPr>
          <w:color w:val="231F20"/>
          <w:spacing w:val="-12"/>
          <w:w w:val="105"/>
          <w:sz w:val="16"/>
        </w:rPr>
        <w:t> </w:t>
      </w:r>
      <w:r>
        <w:rPr>
          <w:color w:val="231F20"/>
          <w:w w:val="105"/>
          <w:sz w:val="16"/>
        </w:rPr>
        <w:t>Law</w:t>
      </w:r>
      <w:r>
        <w:rPr>
          <w:color w:val="231F20"/>
          <w:spacing w:val="-13"/>
          <w:w w:val="105"/>
          <w:sz w:val="16"/>
        </w:rPr>
        <w:t> </w:t>
      </w:r>
      <w:r>
        <w:rPr>
          <w:color w:val="231F20"/>
          <w:w w:val="105"/>
          <w:sz w:val="16"/>
        </w:rPr>
        <w:t>and a member of the Bar’s Labor and Employment Law Section, serving on the corporate counsel</w:t>
      </w:r>
      <w:r>
        <w:rPr>
          <w:color w:val="231F20"/>
          <w:spacing w:val="-5"/>
          <w:w w:val="105"/>
          <w:sz w:val="16"/>
        </w:rPr>
        <w:t> </w:t>
      </w:r>
      <w:r>
        <w:rPr>
          <w:color w:val="231F20"/>
          <w:w w:val="105"/>
          <w:sz w:val="16"/>
        </w:rPr>
        <w:t>committee</w:t>
      </w:r>
      <w:r>
        <w:rPr>
          <w:color w:val="231F20"/>
          <w:spacing w:val="-5"/>
          <w:w w:val="105"/>
          <w:sz w:val="16"/>
        </w:rPr>
        <w:t> </w:t>
      </w:r>
      <w:r>
        <w:rPr>
          <w:color w:val="231F20"/>
          <w:w w:val="105"/>
          <w:sz w:val="16"/>
        </w:rPr>
        <w:t>and</w:t>
      </w:r>
      <w:r>
        <w:rPr>
          <w:color w:val="231F20"/>
          <w:spacing w:val="-5"/>
          <w:w w:val="105"/>
          <w:sz w:val="16"/>
        </w:rPr>
        <w:t> </w:t>
      </w:r>
      <w:r>
        <w:rPr>
          <w:color w:val="231F20"/>
          <w:w w:val="105"/>
          <w:sz w:val="16"/>
        </w:rPr>
        <w:t>the</w:t>
      </w:r>
      <w:r>
        <w:rPr>
          <w:color w:val="231F20"/>
          <w:spacing w:val="-5"/>
          <w:w w:val="105"/>
          <w:sz w:val="16"/>
        </w:rPr>
        <w:t> </w:t>
      </w:r>
      <w:r>
        <w:rPr>
          <w:color w:val="231F20"/>
          <w:w w:val="105"/>
          <w:sz w:val="16"/>
        </w:rPr>
        <w:t>wage</w:t>
      </w:r>
      <w:r>
        <w:rPr>
          <w:color w:val="231F20"/>
          <w:spacing w:val="-5"/>
          <w:w w:val="105"/>
          <w:sz w:val="16"/>
        </w:rPr>
        <w:t> </w:t>
      </w:r>
      <w:r>
        <w:rPr>
          <w:color w:val="231F20"/>
          <w:w w:val="105"/>
          <w:sz w:val="16"/>
        </w:rPr>
        <w:t>and</w:t>
      </w:r>
      <w:r>
        <w:rPr>
          <w:color w:val="231F20"/>
          <w:spacing w:val="-5"/>
          <w:w w:val="105"/>
          <w:sz w:val="16"/>
        </w:rPr>
        <w:t> </w:t>
      </w:r>
      <w:r>
        <w:rPr>
          <w:color w:val="231F20"/>
          <w:w w:val="105"/>
          <w:sz w:val="16"/>
        </w:rPr>
        <w:t>hour</w:t>
      </w:r>
      <w:r>
        <w:rPr>
          <w:color w:val="231F20"/>
          <w:spacing w:val="-5"/>
          <w:w w:val="105"/>
          <w:sz w:val="16"/>
        </w:rPr>
        <w:t> </w:t>
      </w:r>
      <w:r>
        <w:rPr>
          <w:color w:val="231F20"/>
          <w:w w:val="105"/>
          <w:sz w:val="16"/>
        </w:rPr>
        <w:t>administration</w:t>
      </w:r>
      <w:r>
        <w:rPr>
          <w:color w:val="231F20"/>
          <w:spacing w:val="-4"/>
          <w:w w:val="105"/>
          <w:sz w:val="16"/>
        </w:rPr>
        <w:t> </w:t>
      </w:r>
      <w:r>
        <w:rPr>
          <w:color w:val="231F20"/>
          <w:w w:val="105"/>
          <w:sz w:val="16"/>
        </w:rPr>
        <w:t>liaison</w:t>
      </w:r>
      <w:r>
        <w:rPr>
          <w:color w:val="231F20"/>
          <w:spacing w:val="-5"/>
          <w:w w:val="105"/>
          <w:sz w:val="16"/>
        </w:rPr>
        <w:t> </w:t>
      </w:r>
      <w:r>
        <w:rPr>
          <w:color w:val="231F20"/>
          <w:w w:val="105"/>
          <w:sz w:val="16"/>
        </w:rPr>
        <w:t>committee.</w:t>
      </w:r>
      <w:r>
        <w:rPr>
          <w:color w:val="231F20"/>
          <w:spacing w:val="-13"/>
          <w:w w:val="105"/>
          <w:sz w:val="16"/>
        </w:rPr>
        <w:t> </w:t>
      </w:r>
      <w:r>
        <w:rPr>
          <w:color w:val="231F20"/>
          <w:w w:val="105"/>
          <w:sz w:val="16"/>
        </w:rPr>
        <w:t>Alan</w:t>
      </w:r>
      <w:r>
        <w:rPr>
          <w:color w:val="231F20"/>
          <w:spacing w:val="-5"/>
          <w:w w:val="105"/>
          <w:sz w:val="16"/>
        </w:rPr>
        <w:t> </w:t>
      </w:r>
      <w:r>
        <w:rPr>
          <w:color w:val="231F20"/>
          <w:w w:val="105"/>
          <w:sz w:val="16"/>
        </w:rPr>
        <w:t>has been praised for exemplifying both excellence and integrity in the practice of </w:t>
      </w:r>
      <w:r>
        <w:rPr>
          <w:color w:val="231F20"/>
          <w:spacing w:val="-3"/>
          <w:w w:val="105"/>
          <w:sz w:val="16"/>
        </w:rPr>
        <w:t>law, </w:t>
      </w:r>
      <w:r>
        <w:rPr>
          <w:color w:val="231F20"/>
          <w:w w:val="105"/>
          <w:sz w:val="16"/>
        </w:rPr>
        <w:t>his broad and deep knowledge of the </w:t>
      </w:r>
      <w:r>
        <w:rPr>
          <w:color w:val="231F20"/>
          <w:spacing w:val="-3"/>
          <w:w w:val="105"/>
          <w:sz w:val="16"/>
        </w:rPr>
        <w:t>law, </w:t>
      </w:r>
      <w:r>
        <w:rPr>
          <w:color w:val="231F20"/>
          <w:w w:val="105"/>
          <w:sz w:val="16"/>
        </w:rPr>
        <w:t>and his ability to present complex issues in a manner that would be understood by</w:t>
      </w:r>
      <w:r>
        <w:rPr>
          <w:color w:val="231F20"/>
          <w:spacing w:val="-12"/>
          <w:w w:val="105"/>
          <w:sz w:val="16"/>
        </w:rPr>
        <w:t> </w:t>
      </w:r>
      <w:r>
        <w:rPr>
          <w:color w:val="231F20"/>
          <w:w w:val="105"/>
          <w:sz w:val="16"/>
        </w:rPr>
        <w:t>all.</w:t>
      </w:r>
    </w:p>
    <w:p>
      <w:pPr>
        <w:spacing w:after="0" w:line="259" w:lineRule="auto"/>
        <w:jc w:val="both"/>
        <w:rPr>
          <w:sz w:val="16"/>
        </w:rPr>
        <w:sectPr>
          <w:type w:val="continuous"/>
          <w:pgSz w:w="12240" w:h="15840"/>
          <w:pgMar w:top="500" w:bottom="280" w:left="720" w:right="540"/>
          <w:cols w:num="2" w:equalWidth="0">
            <w:col w:w="3529" w:space="40"/>
            <w:col w:w="7411"/>
          </w:cols>
        </w:sectPr>
      </w:pPr>
    </w:p>
    <w:p>
      <w:pPr>
        <w:pStyle w:val="BodyText"/>
        <w:spacing w:line="40" w:lineRule="exact"/>
        <w:ind w:left="100"/>
        <w:rPr>
          <w:sz w:val="4"/>
        </w:rPr>
      </w:pPr>
      <w:r>
        <w:rPr>
          <w:position w:val="0"/>
          <w:sz w:val="4"/>
        </w:rPr>
        <w:pict>
          <v:group style="width:528pt;height:2pt;mso-position-horizontal-relative:char;mso-position-vertical-relative:line" coordorigin="0,0" coordsize="10560,40">
            <v:line style="position:absolute" from="0,20" to="10560,20" stroked="true" strokeweight="2pt" strokecolor="#231f20">
              <v:stroke dashstyle="solid"/>
            </v:line>
          </v:group>
        </w:pict>
      </w:r>
      <w:r>
        <w:rPr>
          <w:position w:val="0"/>
          <w:sz w:val="4"/>
        </w:rPr>
      </w:r>
    </w:p>
    <w:p>
      <w:pPr>
        <w:pStyle w:val="BodyText"/>
        <w:spacing w:before="10"/>
        <w:rPr>
          <w:sz w:val="7"/>
        </w:rPr>
      </w:pPr>
    </w:p>
    <w:p>
      <w:pPr>
        <w:spacing w:line="268" w:lineRule="exact" w:before="92"/>
        <w:ind w:left="120" w:right="0" w:firstLine="0"/>
        <w:jc w:val="left"/>
        <w:rPr>
          <w:b/>
          <w:sz w:val="24"/>
        </w:rPr>
      </w:pPr>
      <w:r>
        <w:rPr/>
        <w:pict>
          <v:shape style="position:absolute;margin-left:474.5pt;margin-top:2.618844pt;width:95pt;height:76.05pt;mso-position-horizontal-relative:page;mso-position-vertical-relative:paragraph;z-index:251789312" type="#_x0000_t202" filled="false" stroked="true" strokeweight="1pt" strokecolor="#231f20">
            <v:textbox inset="0,0,0,0">
              <w:txbxContent>
                <w:p>
                  <w:pPr>
                    <w:spacing w:before="39"/>
                    <w:ind w:left="443" w:right="0" w:firstLine="0"/>
                    <w:jc w:val="left"/>
                    <w:rPr>
                      <w:sz w:val="16"/>
                    </w:rPr>
                  </w:pPr>
                  <w:r>
                    <w:rPr>
                      <w:color w:val="231F20"/>
                      <w:sz w:val="16"/>
                    </w:rPr>
                    <w:t>PRESORTED</w:t>
                  </w:r>
                </w:p>
                <w:p>
                  <w:pPr>
                    <w:spacing w:before="36"/>
                    <w:ind w:left="425" w:right="0" w:firstLine="0"/>
                    <w:jc w:val="left"/>
                    <w:rPr>
                      <w:sz w:val="16"/>
                    </w:rPr>
                  </w:pPr>
                  <w:r>
                    <w:rPr>
                      <w:color w:val="231F20"/>
                      <w:sz w:val="16"/>
                    </w:rPr>
                    <w:t>FIRST</w:t>
                  </w:r>
                  <w:r>
                    <w:rPr>
                      <w:color w:val="231F20"/>
                      <w:spacing w:val="-8"/>
                      <w:sz w:val="16"/>
                    </w:rPr>
                    <w:t> </w:t>
                  </w:r>
                  <w:r>
                    <w:rPr>
                      <w:color w:val="231F20"/>
                      <w:sz w:val="16"/>
                    </w:rPr>
                    <w:t>CLASS</w:t>
                  </w:r>
                </w:p>
                <w:p>
                  <w:pPr>
                    <w:spacing w:line="183" w:lineRule="exact" w:before="36"/>
                    <w:ind w:left="381" w:right="0" w:firstLine="0"/>
                    <w:jc w:val="left"/>
                    <w:rPr>
                      <w:sz w:val="16"/>
                    </w:rPr>
                  </w:pPr>
                  <w:r>
                    <w:rPr>
                      <w:color w:val="231F20"/>
                      <w:sz w:val="16"/>
                    </w:rPr>
                    <w:t>U.S. POSTAGE</w:t>
                  </w:r>
                </w:p>
                <w:p>
                  <w:pPr>
                    <w:pStyle w:val="BodyText"/>
                    <w:spacing w:line="229" w:lineRule="exact"/>
                    <w:ind w:left="185" w:right="185"/>
                    <w:jc w:val="center"/>
                  </w:pPr>
                  <w:r>
                    <w:rPr>
                      <w:color w:val="231F20"/>
                    </w:rPr>
                    <w:t>PAID</w:t>
                  </w:r>
                </w:p>
                <w:p>
                  <w:pPr>
                    <w:spacing w:before="28"/>
                    <w:ind w:left="187" w:right="185" w:firstLine="0"/>
                    <w:jc w:val="center"/>
                    <w:rPr>
                      <w:b/>
                      <w:sz w:val="16"/>
                    </w:rPr>
                  </w:pPr>
                  <w:r>
                    <w:rPr>
                      <w:b/>
                      <w:color w:val="231F20"/>
                      <w:sz w:val="16"/>
                    </w:rPr>
                    <w:t>TALLAHASSEE, FL</w:t>
                  </w:r>
                </w:p>
                <w:p>
                  <w:pPr>
                    <w:spacing w:before="36"/>
                    <w:ind w:left="185" w:right="185" w:firstLine="0"/>
                    <w:jc w:val="center"/>
                    <w:rPr>
                      <w:b/>
                      <w:sz w:val="16"/>
                    </w:rPr>
                  </w:pPr>
                  <w:r>
                    <w:rPr>
                      <w:b/>
                      <w:color w:val="231F20"/>
                      <w:sz w:val="16"/>
                    </w:rPr>
                    <w:t>Permit No. 43</w:t>
                  </w:r>
                </w:p>
              </w:txbxContent>
            </v:textbox>
            <v:stroke dashstyle="solid"/>
            <w10:wrap type="none"/>
          </v:shape>
        </w:pict>
      </w:r>
      <w:r>
        <w:rPr>
          <w:b/>
          <w:color w:val="231F20"/>
          <w:sz w:val="24"/>
        </w:rPr>
        <w:t>The Florida Bar</w:t>
      </w:r>
    </w:p>
    <w:p>
      <w:pPr>
        <w:spacing w:line="225" w:lineRule="auto" w:before="6"/>
        <w:ind w:left="120" w:right="6864" w:firstLine="0"/>
        <w:jc w:val="left"/>
        <w:rPr>
          <w:b/>
          <w:sz w:val="24"/>
        </w:rPr>
      </w:pPr>
      <w:r>
        <w:rPr>
          <w:b/>
          <w:color w:val="231F20"/>
          <w:sz w:val="24"/>
        </w:rPr>
        <w:t>651 E. Jefferson Street Tallahassee, FL 32399-2300</w:t>
      </w:r>
    </w:p>
    <w:sectPr>
      <w:headerReference w:type="default" r:id="rId90"/>
      <w:footerReference w:type="default" r:id="rId91"/>
      <w:pgSz w:w="12240" w:h="15840"/>
      <w:pgMar w:header="0" w:footer="558" w:top="940" w:bottom="740" w:left="720" w:right="540"/>
      <w:pgNumType w:start="16"/>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Verdana">
    <w:altName w:val="Verdana"/>
    <w:charset w:val="0"/>
    <w:family w:val="swiss"/>
    <w:pitch w:val="variable"/>
  </w:font>
  <w:font w:name="Calibri">
    <w:altName w:val="Calibri"/>
    <w:charset w:val="0"/>
    <w:family w:val="swiss"/>
    <w:pitch w:val="variable"/>
  </w:font>
  <w:font w:name="Impact">
    <w:altName w:val="Impact"/>
    <w:charset w:val="0"/>
    <w:family w:val="swiss"/>
    <w:pitch w:val="variable"/>
  </w:font>
  <w:font w:name="Arial Black">
    <w:altName w:val="Arial Black"/>
    <w:charset w:val="0"/>
    <w:family w:val="swiss"/>
    <w:pitch w:val="variable"/>
  </w:font>
  <w:font w:name="Wingdings">
    <w:altName w:val="Wingdings"/>
    <w:charset w:val="2"/>
    <w:family w:val="auto"/>
    <w:pitch w:val="variable"/>
  </w:font>
  <w:font w:name="Cambria">
    <w:altName w:val="Cambria"/>
    <w:charset w:val="0"/>
    <w:family w:val="roman"/>
    <w:pitch w:val="variable"/>
  </w:font>
  <w:font w:name="Tahoma">
    <w:altName w:val="Tahom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7.440002pt;margin-top:753.099976pt;width:17.150pt;height:13.9pt;mso-position-horizontal-relative:page;mso-position-vertical-relative:page;z-index:-253191168" type="#_x0000_t202" filled="false" stroked="false">
          <v:textbox inset="0,0,0,0">
            <w:txbxContent>
              <w:p>
                <w:pPr>
                  <w:spacing w:before="25"/>
                  <w:ind w:left="60" w:right="0" w:firstLine="0"/>
                  <w:jc w:val="left"/>
                  <w:rPr>
                    <w:b/>
                    <w:sz w:val="20"/>
                  </w:rPr>
                </w:pPr>
                <w:r>
                  <w:rPr/>
                  <w:fldChar w:fldCharType="begin"/>
                </w:r>
                <w:r>
                  <w:rPr>
                    <w:b/>
                    <w:color w:val="231F20"/>
                    <w:sz w:val="20"/>
                  </w:rPr>
                  <w:instrText> PAGE </w:instrText>
                </w:r>
                <w:r>
                  <w:rPr/>
                  <w:fldChar w:fldCharType="separate"/>
                </w:r>
                <w:r>
                  <w:rPr/>
                  <w:t>10</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7.440002pt;margin-top:753.099976pt;width:17.150pt;height:13.9pt;mso-position-horizontal-relative:page;mso-position-vertical-relative:page;z-index:-253181952" type="#_x0000_t202" filled="false" stroked="false">
          <v:textbox inset="0,0,0,0">
            <w:txbxContent>
              <w:p>
                <w:pPr>
                  <w:spacing w:before="25"/>
                  <w:ind w:left="60" w:right="0" w:firstLine="0"/>
                  <w:jc w:val="left"/>
                  <w:rPr>
                    <w:b/>
                    <w:sz w:val="20"/>
                  </w:rPr>
                </w:pPr>
                <w:r>
                  <w:rPr/>
                  <w:fldChar w:fldCharType="begin"/>
                </w:r>
                <w:r>
                  <w:rPr>
                    <w:b/>
                    <w:color w:val="231F20"/>
                    <w:sz w:val="20"/>
                  </w:rPr>
                  <w:instrText> PAGE </w:instrText>
                </w:r>
                <w:r>
                  <w:rPr/>
                  <w:fldChar w:fldCharType="separate"/>
                </w:r>
                <w:r>
                  <w:rPr/>
                  <w:t>12</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7.440002pt;margin-top:753.099976pt;width:17.150pt;height:13.9pt;mso-position-horizontal-relative:page;mso-position-vertical-relative:page;z-index:-253180928" type="#_x0000_t202" filled="false" stroked="false">
          <v:textbox inset="0,0,0,0">
            <w:txbxContent>
              <w:p>
                <w:pPr>
                  <w:spacing w:before="25"/>
                  <w:ind w:left="60" w:right="0" w:firstLine="0"/>
                  <w:jc w:val="left"/>
                  <w:rPr>
                    <w:b/>
                    <w:sz w:val="20"/>
                  </w:rPr>
                </w:pPr>
                <w:r>
                  <w:rPr/>
                  <w:fldChar w:fldCharType="begin"/>
                </w:r>
                <w:r>
                  <w:rPr>
                    <w:b/>
                    <w:color w:val="231F20"/>
                    <w:sz w:val="20"/>
                  </w:rPr>
                  <w:instrText> PAGE </w:instrText>
                </w:r>
                <w:r>
                  <w:rPr/>
                  <w:fldChar w:fldCharType="separate"/>
                </w:r>
                <w:r>
                  <w:rPr/>
                  <w:t>13</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7.440002pt;margin-top:753.099976pt;width:17.150pt;height:13.9pt;mso-position-horizontal-relative:page;mso-position-vertical-relative:page;z-index:-253179904" type="#_x0000_t202" filled="false" stroked="false">
          <v:textbox inset="0,0,0,0">
            <w:txbxContent>
              <w:p>
                <w:pPr>
                  <w:spacing w:before="25"/>
                  <w:ind w:left="60" w:right="0" w:firstLine="0"/>
                  <w:jc w:val="left"/>
                  <w:rPr>
                    <w:b/>
                    <w:sz w:val="20"/>
                  </w:rPr>
                </w:pPr>
                <w:r>
                  <w:rPr/>
                  <w:fldChar w:fldCharType="begin"/>
                </w:r>
                <w:r>
                  <w:rPr>
                    <w:b/>
                    <w:color w:val="231F20"/>
                    <w:sz w:val="20"/>
                  </w:rPr>
                  <w:instrText> PAGE </w:instrText>
                </w:r>
                <w:r>
                  <w:rPr/>
                  <w:fldChar w:fldCharType="separate"/>
                </w:r>
                <w:r>
                  <w:rPr/>
                  <w:t>14</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7.440002pt;margin-top:753.099976pt;width:17.150pt;height:13.9pt;mso-position-horizontal-relative:page;mso-position-vertical-relative:page;z-index:-253178880" type="#_x0000_t202" filled="false" stroked="false">
          <v:textbox inset="0,0,0,0">
            <w:txbxContent>
              <w:p>
                <w:pPr>
                  <w:spacing w:before="25"/>
                  <w:ind w:left="60" w:right="0" w:firstLine="0"/>
                  <w:jc w:val="left"/>
                  <w:rPr>
                    <w:b/>
                    <w:sz w:val="20"/>
                  </w:rPr>
                </w:pPr>
                <w:r>
                  <w:rPr/>
                  <w:fldChar w:fldCharType="begin"/>
                </w:r>
                <w:r>
                  <w:rPr>
                    <w:b/>
                    <w:color w:val="231F20"/>
                    <w:sz w:val="20"/>
                  </w:rPr>
                  <w:instrText> PAGE </w:instrText>
                </w:r>
                <w:r>
                  <w:rPr/>
                  <w:fldChar w:fldCharType="separate"/>
                </w:r>
                <w:r>
                  <w:rPr/>
                  <w:t>15</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7.440002pt;margin-top:753.099976pt;width:17.150pt;height:13.9pt;mso-position-horizontal-relative:page;mso-position-vertical-relative:page;z-index:-253177856" type="#_x0000_t202" filled="false" stroked="false">
          <v:textbox inset="0,0,0,0">
            <w:txbxContent>
              <w:p>
                <w:pPr>
                  <w:spacing w:before="25"/>
                  <w:ind w:left="60" w:right="0" w:firstLine="0"/>
                  <w:jc w:val="left"/>
                  <w:rPr>
                    <w:b/>
                    <w:sz w:val="20"/>
                  </w:rPr>
                </w:pPr>
                <w:r>
                  <w:rPr/>
                  <w:fldChar w:fldCharType="begin"/>
                </w:r>
                <w:r>
                  <w:rPr>
                    <w:b/>
                    <w:color w:val="231F20"/>
                    <w:sz w:val="20"/>
                  </w:rPr>
                  <w:instrText> PAGE </w:instrText>
                </w:r>
                <w:r>
                  <w:rPr/>
                  <w:fldChar w:fldCharType="separate"/>
                </w:r>
                <w:r>
                  <w:rPr/>
                  <w:t>16</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00.220001pt;margin-top:753.099976pt;width:11.6pt;height:13.9pt;mso-position-horizontal-relative:page;mso-position-vertical-relative:page;z-index:-253190144" type="#_x0000_t202" filled="false" stroked="false">
          <v:textbox inset="0,0,0,0">
            <w:txbxContent>
              <w:p>
                <w:pPr>
                  <w:spacing w:before="25"/>
                  <w:ind w:left="60" w:right="0" w:firstLine="0"/>
                  <w:jc w:val="left"/>
                  <w:rPr>
                    <w:b/>
                    <w:sz w:val="20"/>
                  </w:rPr>
                </w:pPr>
                <w:r>
                  <w:rPr/>
                  <w:fldChar w:fldCharType="begin"/>
                </w:r>
                <w:r>
                  <w:rPr>
                    <w:b/>
                    <w:color w:val="231F20"/>
                    <w:w w:val="99"/>
                    <w:sz w:val="20"/>
                  </w:rPr>
                  <w:instrText> PAGE </w:instrText>
                </w:r>
                <w:r>
                  <w:rPr/>
                  <w:fldChar w:fldCharType="separate"/>
                </w:r>
                <w:r>
                  <w:rPr/>
                  <w:t>4</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00.220001pt;margin-top:753.099976pt;width:11.6pt;height:13.9pt;mso-position-horizontal-relative:page;mso-position-vertical-relative:page;z-index:-253189120" type="#_x0000_t202" filled="false" stroked="false">
          <v:textbox inset="0,0,0,0">
            <w:txbxContent>
              <w:p>
                <w:pPr>
                  <w:spacing w:before="25"/>
                  <w:ind w:left="60" w:right="0" w:firstLine="0"/>
                  <w:jc w:val="left"/>
                  <w:rPr>
                    <w:b/>
                    <w:sz w:val="20"/>
                  </w:rPr>
                </w:pPr>
                <w:r>
                  <w:rPr/>
                  <w:fldChar w:fldCharType="begin"/>
                </w:r>
                <w:r>
                  <w:rPr>
                    <w:b/>
                    <w:color w:val="231F20"/>
                    <w:w w:val="99"/>
                    <w:sz w:val="20"/>
                  </w:rPr>
                  <w:instrText> PAGE </w:instrText>
                </w:r>
                <w:r>
                  <w:rPr/>
                  <w:fldChar w:fldCharType="separate"/>
                </w:r>
                <w:r>
                  <w:rPr/>
                  <w:t>5</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00.220001pt;margin-top:753.099976pt;width:11.6pt;height:13.9pt;mso-position-horizontal-relative:page;mso-position-vertical-relative:page;z-index:-253188096" type="#_x0000_t202" filled="false" stroked="false">
          <v:textbox inset="0,0,0,0">
            <w:txbxContent>
              <w:p>
                <w:pPr>
                  <w:spacing w:before="25"/>
                  <w:ind w:left="60" w:right="0" w:firstLine="0"/>
                  <w:jc w:val="left"/>
                  <w:rPr>
                    <w:b/>
                    <w:sz w:val="20"/>
                  </w:rPr>
                </w:pPr>
                <w:r>
                  <w:rPr/>
                  <w:fldChar w:fldCharType="begin"/>
                </w:r>
                <w:r>
                  <w:rPr>
                    <w:b/>
                    <w:color w:val="231F20"/>
                    <w:w w:val="99"/>
                    <w:sz w:val="20"/>
                  </w:rPr>
                  <w:instrText> PAGE </w:instrText>
                </w:r>
                <w:r>
                  <w:rPr/>
                  <w:fldChar w:fldCharType="separate"/>
                </w:r>
                <w:r>
                  <w:rPr/>
                  <w:t>6</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00.220001pt;margin-top:753.099976pt;width:11.6pt;height:13.9pt;mso-position-horizontal-relative:page;mso-position-vertical-relative:page;z-index:-253187072" type="#_x0000_t202" filled="false" stroked="false">
          <v:textbox inset="0,0,0,0">
            <w:txbxContent>
              <w:p>
                <w:pPr>
                  <w:spacing w:before="25"/>
                  <w:ind w:left="60" w:right="0" w:firstLine="0"/>
                  <w:jc w:val="left"/>
                  <w:rPr>
                    <w:b/>
                    <w:sz w:val="20"/>
                  </w:rPr>
                </w:pPr>
                <w:r>
                  <w:rPr/>
                  <w:fldChar w:fldCharType="begin"/>
                </w:r>
                <w:r>
                  <w:rPr>
                    <w:b/>
                    <w:color w:val="231F20"/>
                    <w:w w:val="99"/>
                    <w:sz w:val="20"/>
                  </w:rPr>
                  <w:instrText> PAGE </w:instrText>
                </w:r>
                <w:r>
                  <w:rPr/>
                  <w:fldChar w:fldCharType="separate"/>
                </w:r>
                <w:r>
                  <w:rPr/>
                  <w:t>7</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00.220001pt;margin-top:753.099976pt;width:11.6pt;height:13.9pt;mso-position-horizontal-relative:page;mso-position-vertical-relative:page;z-index:-253186048" type="#_x0000_t202" filled="false" stroked="false">
          <v:textbox inset="0,0,0,0">
            <w:txbxContent>
              <w:p>
                <w:pPr>
                  <w:spacing w:before="25"/>
                  <w:ind w:left="60" w:right="0" w:firstLine="0"/>
                  <w:jc w:val="left"/>
                  <w:rPr>
                    <w:b/>
                    <w:sz w:val="20"/>
                  </w:rPr>
                </w:pPr>
                <w:r>
                  <w:rPr/>
                  <w:fldChar w:fldCharType="begin"/>
                </w:r>
                <w:r>
                  <w:rPr>
                    <w:b/>
                    <w:color w:val="231F20"/>
                    <w:w w:val="99"/>
                    <w:sz w:val="20"/>
                  </w:rPr>
                  <w:instrText> PAGE </w:instrText>
                </w:r>
                <w:r>
                  <w:rPr/>
                  <w:fldChar w:fldCharType="separate"/>
                </w:r>
                <w:r>
                  <w:rPr/>
                  <w:t>8</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00.220001pt;margin-top:753.099976pt;width:11.6pt;height:13.9pt;mso-position-horizontal-relative:page;mso-position-vertical-relative:page;z-index:-253185024" type="#_x0000_t202" filled="false" stroked="false">
          <v:textbox inset="0,0,0,0">
            <w:txbxContent>
              <w:p>
                <w:pPr>
                  <w:spacing w:before="25"/>
                  <w:ind w:left="60" w:right="0" w:firstLine="0"/>
                  <w:jc w:val="left"/>
                  <w:rPr>
                    <w:b/>
                    <w:sz w:val="20"/>
                  </w:rPr>
                </w:pPr>
                <w:r>
                  <w:rPr/>
                  <w:fldChar w:fldCharType="begin"/>
                </w:r>
                <w:r>
                  <w:rPr>
                    <w:b/>
                    <w:color w:val="231F20"/>
                    <w:w w:val="99"/>
                    <w:sz w:val="20"/>
                  </w:rPr>
                  <w:instrText> PAGE </w:instrText>
                </w:r>
                <w:r>
                  <w:rPr/>
                  <w:fldChar w:fldCharType="separate"/>
                </w:r>
                <w:r>
                  <w:rPr/>
                  <w:t>9</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7.440002pt;margin-top:753.099976pt;width:17.150pt;height:13.9pt;mso-position-horizontal-relative:page;mso-position-vertical-relative:page;z-index:-253184000" type="#_x0000_t202" filled="false" stroked="false">
          <v:textbox inset="0,0,0,0">
            <w:txbxContent>
              <w:p>
                <w:pPr>
                  <w:spacing w:before="25"/>
                  <w:ind w:left="60" w:right="0" w:firstLine="0"/>
                  <w:jc w:val="left"/>
                  <w:rPr>
                    <w:b/>
                    <w:sz w:val="20"/>
                  </w:rPr>
                </w:pPr>
                <w:r>
                  <w:rPr/>
                  <w:fldChar w:fldCharType="begin"/>
                </w:r>
                <w:r>
                  <w:rPr>
                    <w:b/>
                    <w:color w:val="231F20"/>
                    <w:sz w:val="20"/>
                  </w:rPr>
                  <w:instrText> PAGE </w:instrText>
                </w:r>
                <w:r>
                  <w:rPr/>
                  <w:fldChar w:fldCharType="separate"/>
                </w:r>
                <w:r>
                  <w:rPr/>
                  <w:t>10</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7.714996pt;margin-top:753.099976pt;width:16.05pt;height:13.9pt;mso-position-horizontal-relative:page;mso-position-vertical-relative:page;z-index:-253182976" type="#_x0000_t202" filled="false" stroked="false">
          <v:textbox inset="0,0,0,0">
            <w:txbxContent>
              <w:p>
                <w:pPr>
                  <w:spacing w:before="25"/>
                  <w:ind w:left="60" w:right="0" w:firstLine="0"/>
                  <w:jc w:val="left"/>
                  <w:rPr>
                    <w:b/>
                    <w:sz w:val="20"/>
                  </w:rPr>
                </w:pPr>
                <w:r>
                  <w:rPr/>
                  <w:fldChar w:fldCharType="begin"/>
                </w:r>
                <w:r>
                  <w:rPr>
                    <w:b/>
                    <w:color w:val="231F20"/>
                    <w:sz w:val="20"/>
                  </w:rPr>
                  <w:instrText> PAGE </w:instrText>
                </w:r>
                <w:r>
                  <w:rPr/>
                  <w:fldChar w:fldCharType="separate"/>
                </w:r>
                <w:r>
                  <w:rPr/>
                  <w:t>11</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5pt;margin-top:.5pt;width:611pt;height:791pt;mso-position-horizontal-relative:page;mso-position-vertical-relative:page;z-index:-253192192" filled="true" fillcolor="#c7d9f0"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0"/>
      <w:numFmt w:val="bullet"/>
      <w:lvlText w:val="•"/>
      <w:lvlJc w:val="left"/>
      <w:pPr>
        <w:ind w:left="540" w:hanging="241"/>
      </w:pPr>
      <w:rPr>
        <w:rFonts w:hint="default" w:ascii="Arial" w:hAnsi="Arial" w:eastAsia="Arial" w:cs="Arial"/>
        <w:color w:val="231F20"/>
        <w:spacing w:val="-26"/>
        <w:w w:val="100"/>
        <w:sz w:val="24"/>
        <w:szCs w:val="24"/>
        <w:lang w:val="en-US" w:eastAsia="en-US" w:bidi="en-US"/>
      </w:rPr>
    </w:lvl>
    <w:lvl w:ilvl="1">
      <w:start w:val="0"/>
      <w:numFmt w:val="bullet"/>
      <w:lvlText w:val="•"/>
      <w:lvlJc w:val="left"/>
      <w:pPr>
        <w:ind w:left="838" w:hanging="241"/>
      </w:pPr>
      <w:rPr>
        <w:rFonts w:hint="default"/>
        <w:lang w:val="en-US" w:eastAsia="en-US" w:bidi="en-US"/>
      </w:rPr>
    </w:lvl>
    <w:lvl w:ilvl="2">
      <w:start w:val="0"/>
      <w:numFmt w:val="bullet"/>
      <w:lvlText w:val="•"/>
      <w:lvlJc w:val="left"/>
      <w:pPr>
        <w:ind w:left="1137" w:hanging="241"/>
      </w:pPr>
      <w:rPr>
        <w:rFonts w:hint="default"/>
        <w:lang w:val="en-US" w:eastAsia="en-US" w:bidi="en-US"/>
      </w:rPr>
    </w:lvl>
    <w:lvl w:ilvl="3">
      <w:start w:val="0"/>
      <w:numFmt w:val="bullet"/>
      <w:lvlText w:val="•"/>
      <w:lvlJc w:val="left"/>
      <w:pPr>
        <w:ind w:left="1436" w:hanging="241"/>
      </w:pPr>
      <w:rPr>
        <w:rFonts w:hint="default"/>
        <w:lang w:val="en-US" w:eastAsia="en-US" w:bidi="en-US"/>
      </w:rPr>
    </w:lvl>
    <w:lvl w:ilvl="4">
      <w:start w:val="0"/>
      <w:numFmt w:val="bullet"/>
      <w:lvlText w:val="•"/>
      <w:lvlJc w:val="left"/>
      <w:pPr>
        <w:ind w:left="1735" w:hanging="241"/>
      </w:pPr>
      <w:rPr>
        <w:rFonts w:hint="default"/>
        <w:lang w:val="en-US" w:eastAsia="en-US" w:bidi="en-US"/>
      </w:rPr>
    </w:lvl>
    <w:lvl w:ilvl="5">
      <w:start w:val="0"/>
      <w:numFmt w:val="bullet"/>
      <w:lvlText w:val="•"/>
      <w:lvlJc w:val="left"/>
      <w:pPr>
        <w:ind w:left="2034" w:hanging="241"/>
      </w:pPr>
      <w:rPr>
        <w:rFonts w:hint="default"/>
        <w:lang w:val="en-US" w:eastAsia="en-US" w:bidi="en-US"/>
      </w:rPr>
    </w:lvl>
    <w:lvl w:ilvl="6">
      <w:start w:val="0"/>
      <w:numFmt w:val="bullet"/>
      <w:lvlText w:val="•"/>
      <w:lvlJc w:val="left"/>
      <w:pPr>
        <w:ind w:left="2333" w:hanging="241"/>
      </w:pPr>
      <w:rPr>
        <w:rFonts w:hint="default"/>
        <w:lang w:val="en-US" w:eastAsia="en-US" w:bidi="en-US"/>
      </w:rPr>
    </w:lvl>
    <w:lvl w:ilvl="7">
      <w:start w:val="0"/>
      <w:numFmt w:val="bullet"/>
      <w:lvlText w:val="•"/>
      <w:lvlJc w:val="left"/>
      <w:pPr>
        <w:ind w:left="2632" w:hanging="241"/>
      </w:pPr>
      <w:rPr>
        <w:rFonts w:hint="default"/>
        <w:lang w:val="en-US" w:eastAsia="en-US" w:bidi="en-US"/>
      </w:rPr>
    </w:lvl>
    <w:lvl w:ilvl="8">
      <w:start w:val="0"/>
      <w:numFmt w:val="bullet"/>
      <w:lvlText w:val="•"/>
      <w:lvlJc w:val="left"/>
      <w:pPr>
        <w:ind w:left="2931" w:hanging="241"/>
      </w:pPr>
      <w:rPr>
        <w:rFonts w:hint="default"/>
        <w:lang w:val="en-US" w:eastAsia="en-US" w:bidi="en-US"/>
      </w:rPr>
    </w:lvl>
  </w:abstractNum>
  <w:abstractNum w:abstractNumId="3">
    <w:multiLevelType w:val="hybridMultilevel"/>
    <w:lvl w:ilvl="0">
      <w:start w:val="0"/>
      <w:numFmt w:val="bullet"/>
      <w:lvlText w:val=""/>
      <w:lvlJc w:val="left"/>
      <w:pPr>
        <w:ind w:left="883" w:hanging="398"/>
      </w:pPr>
      <w:rPr>
        <w:rFonts w:hint="default" w:ascii="Wingdings" w:hAnsi="Wingdings" w:eastAsia="Wingdings" w:cs="Wingdings"/>
        <w:color w:val="4089B0"/>
        <w:w w:val="100"/>
        <w:sz w:val="32"/>
        <w:szCs w:val="32"/>
        <w:lang w:val="en-US" w:eastAsia="en-US" w:bidi="en-US"/>
      </w:rPr>
    </w:lvl>
    <w:lvl w:ilvl="1">
      <w:start w:val="0"/>
      <w:numFmt w:val="bullet"/>
      <w:lvlText w:val="•"/>
      <w:lvlJc w:val="left"/>
      <w:pPr>
        <w:ind w:left="1542" w:hanging="398"/>
      </w:pPr>
      <w:rPr>
        <w:rFonts w:hint="default"/>
        <w:lang w:val="en-US" w:eastAsia="en-US" w:bidi="en-US"/>
      </w:rPr>
    </w:lvl>
    <w:lvl w:ilvl="2">
      <w:start w:val="0"/>
      <w:numFmt w:val="bullet"/>
      <w:lvlText w:val="•"/>
      <w:lvlJc w:val="left"/>
      <w:pPr>
        <w:ind w:left="2205" w:hanging="398"/>
      </w:pPr>
      <w:rPr>
        <w:rFonts w:hint="default"/>
        <w:lang w:val="en-US" w:eastAsia="en-US" w:bidi="en-US"/>
      </w:rPr>
    </w:lvl>
    <w:lvl w:ilvl="3">
      <w:start w:val="0"/>
      <w:numFmt w:val="bullet"/>
      <w:lvlText w:val="•"/>
      <w:lvlJc w:val="left"/>
      <w:pPr>
        <w:ind w:left="2867" w:hanging="398"/>
      </w:pPr>
      <w:rPr>
        <w:rFonts w:hint="default"/>
        <w:lang w:val="en-US" w:eastAsia="en-US" w:bidi="en-US"/>
      </w:rPr>
    </w:lvl>
    <w:lvl w:ilvl="4">
      <w:start w:val="0"/>
      <w:numFmt w:val="bullet"/>
      <w:lvlText w:val="•"/>
      <w:lvlJc w:val="left"/>
      <w:pPr>
        <w:ind w:left="3530" w:hanging="398"/>
      </w:pPr>
      <w:rPr>
        <w:rFonts w:hint="default"/>
        <w:lang w:val="en-US" w:eastAsia="en-US" w:bidi="en-US"/>
      </w:rPr>
    </w:lvl>
    <w:lvl w:ilvl="5">
      <w:start w:val="0"/>
      <w:numFmt w:val="bullet"/>
      <w:lvlText w:val="•"/>
      <w:lvlJc w:val="left"/>
      <w:pPr>
        <w:ind w:left="4192" w:hanging="398"/>
      </w:pPr>
      <w:rPr>
        <w:rFonts w:hint="default"/>
        <w:lang w:val="en-US" w:eastAsia="en-US" w:bidi="en-US"/>
      </w:rPr>
    </w:lvl>
    <w:lvl w:ilvl="6">
      <w:start w:val="0"/>
      <w:numFmt w:val="bullet"/>
      <w:lvlText w:val="•"/>
      <w:lvlJc w:val="left"/>
      <w:pPr>
        <w:ind w:left="4855" w:hanging="398"/>
      </w:pPr>
      <w:rPr>
        <w:rFonts w:hint="default"/>
        <w:lang w:val="en-US" w:eastAsia="en-US" w:bidi="en-US"/>
      </w:rPr>
    </w:lvl>
    <w:lvl w:ilvl="7">
      <w:start w:val="0"/>
      <w:numFmt w:val="bullet"/>
      <w:lvlText w:val="•"/>
      <w:lvlJc w:val="left"/>
      <w:pPr>
        <w:ind w:left="5517" w:hanging="398"/>
      </w:pPr>
      <w:rPr>
        <w:rFonts w:hint="default"/>
        <w:lang w:val="en-US" w:eastAsia="en-US" w:bidi="en-US"/>
      </w:rPr>
    </w:lvl>
    <w:lvl w:ilvl="8">
      <w:start w:val="0"/>
      <w:numFmt w:val="bullet"/>
      <w:lvlText w:val="•"/>
      <w:lvlJc w:val="left"/>
      <w:pPr>
        <w:ind w:left="6180" w:hanging="398"/>
      </w:pPr>
      <w:rPr>
        <w:rFonts w:hint="default"/>
        <w:lang w:val="en-US" w:eastAsia="en-US" w:bidi="en-US"/>
      </w:rPr>
    </w:lvl>
  </w:abstractNum>
  <w:abstractNum w:abstractNumId="2">
    <w:multiLevelType w:val="hybridMultilevel"/>
    <w:lvl w:ilvl="0">
      <w:start w:val="5"/>
      <w:numFmt w:val="lowerRoman"/>
      <w:lvlText w:val="%1."/>
      <w:lvlJc w:val="left"/>
      <w:pPr>
        <w:ind w:left="120" w:hanging="234"/>
        <w:jc w:val="left"/>
      </w:pPr>
      <w:rPr>
        <w:rFonts w:hint="default" w:ascii="Arial" w:hAnsi="Arial" w:eastAsia="Arial" w:cs="Arial"/>
        <w:i/>
        <w:color w:val="231F20"/>
        <w:spacing w:val="-27"/>
        <w:w w:val="100"/>
        <w:sz w:val="20"/>
        <w:szCs w:val="20"/>
        <w:lang w:val="en-US" w:eastAsia="en-US" w:bidi="en-US"/>
      </w:rPr>
    </w:lvl>
    <w:lvl w:ilvl="1">
      <w:start w:val="0"/>
      <w:numFmt w:val="bullet"/>
      <w:lvlText w:val=""/>
      <w:lvlJc w:val="left"/>
      <w:pPr>
        <w:ind w:left="997" w:hanging="398"/>
      </w:pPr>
      <w:rPr>
        <w:rFonts w:hint="default" w:ascii="Wingdings" w:hAnsi="Wingdings" w:eastAsia="Wingdings" w:cs="Wingdings"/>
        <w:color w:val="4089B0"/>
        <w:w w:val="100"/>
        <w:sz w:val="32"/>
        <w:szCs w:val="32"/>
        <w:lang w:val="en-US" w:eastAsia="en-US" w:bidi="en-US"/>
      </w:rPr>
    </w:lvl>
    <w:lvl w:ilvl="2">
      <w:start w:val="0"/>
      <w:numFmt w:val="bullet"/>
      <w:lvlText w:val="•"/>
      <w:lvlJc w:val="left"/>
      <w:pPr>
        <w:ind w:left="870" w:hanging="398"/>
      </w:pPr>
      <w:rPr>
        <w:rFonts w:hint="default"/>
        <w:lang w:val="en-US" w:eastAsia="en-US" w:bidi="en-US"/>
      </w:rPr>
    </w:lvl>
    <w:lvl w:ilvl="3">
      <w:start w:val="0"/>
      <w:numFmt w:val="bullet"/>
      <w:lvlText w:val="•"/>
      <w:lvlJc w:val="left"/>
      <w:pPr>
        <w:ind w:left="741" w:hanging="398"/>
      </w:pPr>
      <w:rPr>
        <w:rFonts w:hint="default"/>
        <w:lang w:val="en-US" w:eastAsia="en-US" w:bidi="en-US"/>
      </w:rPr>
    </w:lvl>
    <w:lvl w:ilvl="4">
      <w:start w:val="0"/>
      <w:numFmt w:val="bullet"/>
      <w:lvlText w:val="•"/>
      <w:lvlJc w:val="left"/>
      <w:pPr>
        <w:ind w:left="611" w:hanging="398"/>
      </w:pPr>
      <w:rPr>
        <w:rFonts w:hint="default"/>
        <w:lang w:val="en-US" w:eastAsia="en-US" w:bidi="en-US"/>
      </w:rPr>
    </w:lvl>
    <w:lvl w:ilvl="5">
      <w:start w:val="0"/>
      <w:numFmt w:val="bullet"/>
      <w:lvlText w:val="•"/>
      <w:lvlJc w:val="left"/>
      <w:pPr>
        <w:ind w:left="482" w:hanging="398"/>
      </w:pPr>
      <w:rPr>
        <w:rFonts w:hint="default"/>
        <w:lang w:val="en-US" w:eastAsia="en-US" w:bidi="en-US"/>
      </w:rPr>
    </w:lvl>
    <w:lvl w:ilvl="6">
      <w:start w:val="0"/>
      <w:numFmt w:val="bullet"/>
      <w:lvlText w:val="•"/>
      <w:lvlJc w:val="left"/>
      <w:pPr>
        <w:ind w:left="352" w:hanging="398"/>
      </w:pPr>
      <w:rPr>
        <w:rFonts w:hint="default"/>
        <w:lang w:val="en-US" w:eastAsia="en-US" w:bidi="en-US"/>
      </w:rPr>
    </w:lvl>
    <w:lvl w:ilvl="7">
      <w:start w:val="0"/>
      <w:numFmt w:val="bullet"/>
      <w:lvlText w:val="•"/>
      <w:lvlJc w:val="left"/>
      <w:pPr>
        <w:ind w:left="223" w:hanging="398"/>
      </w:pPr>
      <w:rPr>
        <w:rFonts w:hint="default"/>
        <w:lang w:val="en-US" w:eastAsia="en-US" w:bidi="en-US"/>
      </w:rPr>
    </w:lvl>
    <w:lvl w:ilvl="8">
      <w:start w:val="0"/>
      <w:numFmt w:val="bullet"/>
      <w:lvlText w:val="•"/>
      <w:lvlJc w:val="left"/>
      <w:pPr>
        <w:ind w:left="93" w:hanging="398"/>
      </w:pPr>
      <w:rPr>
        <w:rFonts w:hint="default"/>
        <w:lang w:val="en-US" w:eastAsia="en-US" w:bidi="en-US"/>
      </w:rPr>
    </w:lvl>
  </w:abstractNum>
  <w:abstractNum w:abstractNumId="1">
    <w:multiLevelType w:val="hybridMultilevel"/>
    <w:lvl w:ilvl="0">
      <w:start w:val="5"/>
      <w:numFmt w:val="lowerRoman"/>
      <w:lvlText w:val="%1."/>
      <w:lvlJc w:val="left"/>
      <w:pPr>
        <w:ind w:left="120" w:hanging="155"/>
        <w:jc w:val="left"/>
      </w:pPr>
      <w:rPr>
        <w:rFonts w:hint="default" w:ascii="Arial" w:hAnsi="Arial" w:eastAsia="Arial" w:cs="Arial"/>
        <w:i/>
        <w:color w:val="231F20"/>
        <w:spacing w:val="-12"/>
        <w:w w:val="100"/>
        <w:sz w:val="16"/>
        <w:szCs w:val="16"/>
        <w:lang w:val="en-US" w:eastAsia="en-US" w:bidi="en-US"/>
      </w:rPr>
    </w:lvl>
    <w:lvl w:ilvl="1">
      <w:start w:val="1"/>
      <w:numFmt w:val="decimal"/>
      <w:lvlText w:val="(%2)"/>
      <w:lvlJc w:val="left"/>
      <w:pPr>
        <w:ind w:left="359" w:hanging="306"/>
        <w:jc w:val="left"/>
      </w:pPr>
      <w:rPr>
        <w:rFonts w:hint="default" w:ascii="Arial" w:hAnsi="Arial" w:eastAsia="Arial" w:cs="Arial"/>
        <w:color w:val="231F20"/>
        <w:spacing w:val="-20"/>
        <w:w w:val="100"/>
        <w:sz w:val="18"/>
        <w:szCs w:val="18"/>
        <w:lang w:val="en-US" w:eastAsia="en-US" w:bidi="en-US"/>
      </w:rPr>
    </w:lvl>
    <w:lvl w:ilvl="2">
      <w:start w:val="0"/>
      <w:numFmt w:val="bullet"/>
      <w:lvlText w:val="•"/>
      <w:lvlJc w:val="left"/>
      <w:pPr>
        <w:ind w:left="311" w:hanging="306"/>
      </w:pPr>
      <w:rPr>
        <w:rFonts w:hint="default"/>
        <w:lang w:val="en-US" w:eastAsia="en-US" w:bidi="en-US"/>
      </w:rPr>
    </w:lvl>
    <w:lvl w:ilvl="3">
      <w:start w:val="0"/>
      <w:numFmt w:val="bullet"/>
      <w:lvlText w:val="•"/>
      <w:lvlJc w:val="left"/>
      <w:pPr>
        <w:ind w:left="263" w:hanging="306"/>
      </w:pPr>
      <w:rPr>
        <w:rFonts w:hint="default"/>
        <w:lang w:val="en-US" w:eastAsia="en-US" w:bidi="en-US"/>
      </w:rPr>
    </w:lvl>
    <w:lvl w:ilvl="4">
      <w:start w:val="0"/>
      <w:numFmt w:val="bullet"/>
      <w:lvlText w:val="•"/>
      <w:lvlJc w:val="left"/>
      <w:pPr>
        <w:ind w:left="214" w:hanging="306"/>
      </w:pPr>
      <w:rPr>
        <w:rFonts w:hint="default"/>
        <w:lang w:val="en-US" w:eastAsia="en-US" w:bidi="en-US"/>
      </w:rPr>
    </w:lvl>
    <w:lvl w:ilvl="5">
      <w:start w:val="0"/>
      <w:numFmt w:val="bullet"/>
      <w:lvlText w:val="•"/>
      <w:lvlJc w:val="left"/>
      <w:pPr>
        <w:ind w:left="166" w:hanging="306"/>
      </w:pPr>
      <w:rPr>
        <w:rFonts w:hint="default"/>
        <w:lang w:val="en-US" w:eastAsia="en-US" w:bidi="en-US"/>
      </w:rPr>
    </w:lvl>
    <w:lvl w:ilvl="6">
      <w:start w:val="0"/>
      <w:numFmt w:val="bullet"/>
      <w:lvlText w:val="•"/>
      <w:lvlJc w:val="left"/>
      <w:pPr>
        <w:ind w:left="117" w:hanging="306"/>
      </w:pPr>
      <w:rPr>
        <w:rFonts w:hint="default"/>
        <w:lang w:val="en-US" w:eastAsia="en-US" w:bidi="en-US"/>
      </w:rPr>
    </w:lvl>
    <w:lvl w:ilvl="7">
      <w:start w:val="0"/>
      <w:numFmt w:val="bullet"/>
      <w:lvlText w:val="•"/>
      <w:lvlJc w:val="left"/>
      <w:pPr>
        <w:ind w:left="68" w:hanging="306"/>
      </w:pPr>
      <w:rPr>
        <w:rFonts w:hint="default"/>
        <w:lang w:val="en-US" w:eastAsia="en-US" w:bidi="en-US"/>
      </w:rPr>
    </w:lvl>
    <w:lvl w:ilvl="8">
      <w:start w:val="0"/>
      <w:numFmt w:val="bullet"/>
      <w:lvlText w:val="•"/>
      <w:lvlJc w:val="left"/>
      <w:pPr>
        <w:ind w:left="20" w:hanging="306"/>
      </w:pPr>
      <w:rPr>
        <w:rFonts w:hint="default"/>
        <w:lang w:val="en-US" w:eastAsia="en-US" w:bidi="en-US"/>
      </w:rPr>
    </w:lvl>
  </w:abstractNum>
  <w:abstractNum w:abstractNumId="0">
    <w:multiLevelType w:val="hybridMultilevel"/>
    <w:lvl w:ilvl="0">
      <w:start w:val="768"/>
      <w:numFmt w:val="decimal"/>
      <w:lvlText w:val="%1"/>
      <w:lvlJc w:val="left"/>
      <w:pPr>
        <w:ind w:left="198" w:hanging="661"/>
        <w:jc w:val="left"/>
      </w:pPr>
      <w:rPr>
        <w:rFonts w:hint="default"/>
        <w:lang w:val="en-US" w:eastAsia="en-US" w:bidi="en-US"/>
      </w:rPr>
    </w:lvl>
    <w:lvl w:ilvl="1">
      <w:start w:val="79"/>
      <w:numFmt w:val="decimal"/>
      <w:lvlText w:val="%1.%2"/>
      <w:lvlJc w:val="left"/>
      <w:pPr>
        <w:ind w:left="198" w:hanging="661"/>
        <w:jc w:val="left"/>
      </w:pPr>
      <w:rPr>
        <w:rFonts w:hint="default" w:ascii="Arial" w:hAnsi="Arial" w:eastAsia="Arial" w:cs="Arial"/>
        <w:color w:val="231F20"/>
        <w:spacing w:val="-1"/>
        <w:w w:val="100"/>
        <w:sz w:val="20"/>
        <w:szCs w:val="20"/>
        <w:lang w:val="en-US" w:eastAsia="en-US" w:bidi="en-US"/>
      </w:rPr>
    </w:lvl>
    <w:lvl w:ilvl="2">
      <w:start w:val="1"/>
      <w:numFmt w:val="upperLetter"/>
      <w:lvlText w:val="%3."/>
      <w:lvlJc w:val="left"/>
      <w:pPr>
        <w:ind w:left="672" w:hanging="193"/>
        <w:jc w:val="left"/>
      </w:pPr>
      <w:rPr>
        <w:rFonts w:hint="default" w:ascii="Arial" w:hAnsi="Arial" w:eastAsia="Arial" w:cs="Arial"/>
        <w:color w:val="231F20"/>
        <w:w w:val="100"/>
        <w:sz w:val="16"/>
        <w:szCs w:val="16"/>
        <w:lang w:val="en-US" w:eastAsia="en-US" w:bidi="en-US"/>
      </w:rPr>
    </w:lvl>
    <w:lvl w:ilvl="3">
      <w:start w:val="0"/>
      <w:numFmt w:val="bullet"/>
      <w:lvlText w:val=""/>
      <w:lvlJc w:val="left"/>
      <w:pPr>
        <w:ind w:left="1561" w:hanging="500"/>
      </w:pPr>
      <w:rPr>
        <w:rFonts w:hint="default" w:ascii="Wingdings" w:hAnsi="Wingdings" w:eastAsia="Wingdings" w:cs="Wingdings"/>
        <w:color w:val="292A76"/>
        <w:w w:val="100"/>
        <w:sz w:val="22"/>
        <w:szCs w:val="22"/>
        <w:lang w:val="en-US" w:eastAsia="en-US" w:bidi="en-US"/>
      </w:rPr>
    </w:lvl>
    <w:lvl w:ilvl="4">
      <w:start w:val="0"/>
      <w:numFmt w:val="bullet"/>
      <w:lvlText w:val=""/>
      <w:lvlJc w:val="left"/>
      <w:pPr>
        <w:ind w:left="1894" w:hanging="334"/>
      </w:pPr>
      <w:rPr>
        <w:rFonts w:hint="default" w:ascii="Wingdings" w:hAnsi="Wingdings" w:eastAsia="Wingdings" w:cs="Wingdings"/>
        <w:color w:val="231F20"/>
        <w:w w:val="100"/>
        <w:sz w:val="22"/>
        <w:szCs w:val="22"/>
        <w:lang w:val="en-US" w:eastAsia="en-US" w:bidi="en-US"/>
      </w:rPr>
    </w:lvl>
    <w:lvl w:ilvl="5">
      <w:start w:val="0"/>
      <w:numFmt w:val="bullet"/>
      <w:lvlText w:val="•"/>
      <w:lvlJc w:val="left"/>
      <w:pPr>
        <w:ind w:left="1712" w:hanging="334"/>
      </w:pPr>
      <w:rPr>
        <w:rFonts w:hint="default"/>
        <w:lang w:val="en-US" w:eastAsia="en-US" w:bidi="en-US"/>
      </w:rPr>
    </w:lvl>
    <w:lvl w:ilvl="6">
      <w:start w:val="0"/>
      <w:numFmt w:val="bullet"/>
      <w:lvlText w:val="•"/>
      <w:lvlJc w:val="left"/>
      <w:pPr>
        <w:ind w:left="1618" w:hanging="334"/>
      </w:pPr>
      <w:rPr>
        <w:rFonts w:hint="default"/>
        <w:lang w:val="en-US" w:eastAsia="en-US" w:bidi="en-US"/>
      </w:rPr>
    </w:lvl>
    <w:lvl w:ilvl="7">
      <w:start w:val="0"/>
      <w:numFmt w:val="bullet"/>
      <w:lvlText w:val="•"/>
      <w:lvlJc w:val="left"/>
      <w:pPr>
        <w:ind w:left="1524" w:hanging="334"/>
      </w:pPr>
      <w:rPr>
        <w:rFonts w:hint="default"/>
        <w:lang w:val="en-US" w:eastAsia="en-US" w:bidi="en-US"/>
      </w:rPr>
    </w:lvl>
    <w:lvl w:ilvl="8">
      <w:start w:val="0"/>
      <w:numFmt w:val="bullet"/>
      <w:lvlText w:val="•"/>
      <w:lvlJc w:val="left"/>
      <w:pPr>
        <w:ind w:left="1430" w:hanging="334"/>
      </w:pPr>
      <w:rPr>
        <w:rFonts w:hint="default"/>
        <w:lang w:val="en-US" w:eastAsia="en-US" w:bidi="en-US"/>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TOC1" w:type="paragraph">
    <w:name w:val="TOC 1"/>
    <w:basedOn w:val="Normal"/>
    <w:uiPriority w:val="1"/>
    <w:qFormat/>
    <w:pPr>
      <w:spacing w:before="191"/>
      <w:ind w:left="210"/>
    </w:pPr>
    <w:rPr>
      <w:rFonts w:ascii="Arial" w:hAnsi="Arial" w:eastAsia="Arial" w:cs="Arial"/>
      <w:i/>
      <w:sz w:val="16"/>
      <w:szCs w:val="16"/>
      <w:lang w:val="en-US" w:eastAsia="en-US" w:bidi="en-US"/>
    </w:rPr>
  </w:style>
  <w:style w:styleId="BodyText" w:type="paragraph">
    <w:name w:val="Body Text"/>
    <w:basedOn w:val="Normal"/>
    <w:uiPriority w:val="1"/>
    <w:qFormat/>
    <w:pPr/>
    <w:rPr>
      <w:rFonts w:ascii="Arial" w:hAnsi="Arial" w:eastAsia="Arial" w:cs="Arial"/>
      <w:sz w:val="20"/>
      <w:szCs w:val="20"/>
      <w:lang w:val="en-US" w:eastAsia="en-US" w:bidi="en-US"/>
    </w:rPr>
  </w:style>
  <w:style w:styleId="Heading1" w:type="paragraph">
    <w:name w:val="Heading 1"/>
    <w:basedOn w:val="Normal"/>
    <w:uiPriority w:val="1"/>
    <w:qFormat/>
    <w:pPr>
      <w:spacing w:before="75"/>
      <w:ind w:left="474"/>
      <w:jc w:val="center"/>
      <w:outlineLvl w:val="1"/>
    </w:pPr>
    <w:rPr>
      <w:rFonts w:ascii="Arial Black" w:hAnsi="Arial Black" w:eastAsia="Arial Black" w:cs="Arial Black"/>
      <w:sz w:val="48"/>
      <w:szCs w:val="48"/>
      <w:lang w:val="en-US" w:eastAsia="en-US" w:bidi="en-US"/>
    </w:rPr>
  </w:style>
  <w:style w:styleId="Heading2" w:type="paragraph">
    <w:name w:val="Heading 2"/>
    <w:basedOn w:val="Normal"/>
    <w:uiPriority w:val="1"/>
    <w:qFormat/>
    <w:pPr>
      <w:spacing w:before="63" w:line="556" w:lineRule="exact"/>
      <w:ind w:left="209" w:right="449"/>
      <w:jc w:val="center"/>
      <w:outlineLvl w:val="2"/>
    </w:pPr>
    <w:rPr>
      <w:rFonts w:ascii="Arial Black" w:hAnsi="Arial Black" w:eastAsia="Arial Black" w:cs="Arial Black"/>
      <w:b/>
      <w:bCs/>
      <w:i/>
      <w:sz w:val="44"/>
      <w:szCs w:val="44"/>
      <w:lang w:val="en-US" w:eastAsia="en-US" w:bidi="en-US"/>
    </w:rPr>
  </w:style>
  <w:style w:styleId="Heading3" w:type="paragraph">
    <w:name w:val="Heading 3"/>
    <w:basedOn w:val="Normal"/>
    <w:uiPriority w:val="1"/>
    <w:qFormat/>
    <w:pPr>
      <w:ind w:left="209" w:right="358"/>
      <w:jc w:val="center"/>
      <w:outlineLvl w:val="3"/>
    </w:pPr>
    <w:rPr>
      <w:rFonts w:ascii="Arial Black" w:hAnsi="Arial Black" w:eastAsia="Arial Black" w:cs="Arial Black"/>
      <w:sz w:val="43"/>
      <w:szCs w:val="43"/>
      <w:lang w:val="en-US" w:eastAsia="en-US" w:bidi="en-US"/>
    </w:rPr>
  </w:style>
  <w:style w:styleId="Heading4" w:type="paragraph">
    <w:name w:val="Heading 4"/>
    <w:basedOn w:val="Normal"/>
    <w:uiPriority w:val="1"/>
    <w:qFormat/>
    <w:pPr>
      <w:spacing w:before="255"/>
      <w:ind w:left="419"/>
      <w:jc w:val="center"/>
      <w:outlineLvl w:val="4"/>
    </w:pPr>
    <w:rPr>
      <w:rFonts w:ascii="Arial" w:hAnsi="Arial" w:eastAsia="Arial" w:cs="Arial"/>
      <w:b/>
      <w:bCs/>
      <w:sz w:val="42"/>
      <w:szCs w:val="42"/>
      <w:lang w:val="en-US" w:eastAsia="en-US" w:bidi="en-US"/>
    </w:rPr>
  </w:style>
  <w:style w:styleId="Heading5" w:type="paragraph">
    <w:name w:val="Heading 5"/>
    <w:basedOn w:val="Normal"/>
    <w:uiPriority w:val="1"/>
    <w:qFormat/>
    <w:pPr>
      <w:ind w:left="475" w:right="653"/>
      <w:jc w:val="center"/>
      <w:outlineLvl w:val="5"/>
    </w:pPr>
    <w:rPr>
      <w:rFonts w:ascii="Cambria" w:hAnsi="Cambria" w:eastAsia="Cambria" w:cs="Cambria"/>
      <w:b/>
      <w:bCs/>
      <w:i/>
      <w:sz w:val="37"/>
      <w:szCs w:val="37"/>
      <w:lang w:val="en-US" w:eastAsia="en-US" w:bidi="en-US"/>
    </w:rPr>
  </w:style>
  <w:style w:styleId="Heading6" w:type="paragraph">
    <w:name w:val="Heading 6"/>
    <w:basedOn w:val="Normal"/>
    <w:uiPriority w:val="1"/>
    <w:qFormat/>
    <w:pPr>
      <w:spacing w:before="99"/>
      <w:ind w:left="2122" w:right="3191" w:hanging="1330"/>
      <w:outlineLvl w:val="6"/>
    </w:pPr>
    <w:rPr>
      <w:rFonts w:ascii="Arial" w:hAnsi="Arial" w:eastAsia="Arial" w:cs="Arial"/>
      <w:sz w:val="36"/>
      <w:szCs w:val="36"/>
      <w:lang w:val="en-US" w:eastAsia="en-US" w:bidi="en-US"/>
    </w:rPr>
  </w:style>
  <w:style w:styleId="Heading7" w:type="paragraph">
    <w:name w:val="Heading 7"/>
    <w:basedOn w:val="Normal"/>
    <w:uiPriority w:val="1"/>
    <w:qFormat/>
    <w:pPr>
      <w:ind w:left="217" w:hanging="1"/>
      <w:jc w:val="center"/>
      <w:outlineLvl w:val="7"/>
    </w:pPr>
    <w:rPr>
      <w:rFonts w:ascii="Tahoma" w:hAnsi="Tahoma" w:eastAsia="Tahoma" w:cs="Tahoma"/>
      <w:b/>
      <w:bCs/>
      <w:sz w:val="34"/>
      <w:szCs w:val="34"/>
      <w:lang w:val="en-US" w:eastAsia="en-US" w:bidi="en-US"/>
    </w:rPr>
  </w:style>
  <w:style w:styleId="Heading8" w:type="paragraph">
    <w:name w:val="Heading 8"/>
    <w:basedOn w:val="Normal"/>
    <w:uiPriority w:val="1"/>
    <w:qFormat/>
    <w:pPr>
      <w:spacing w:before="3"/>
      <w:ind w:left="613" w:right="809"/>
      <w:jc w:val="center"/>
      <w:outlineLvl w:val="8"/>
    </w:pPr>
    <w:rPr>
      <w:rFonts w:ascii="Cambria" w:hAnsi="Cambria" w:eastAsia="Cambria" w:cs="Cambria"/>
      <w:b/>
      <w:bCs/>
      <w:sz w:val="33"/>
      <w:szCs w:val="33"/>
      <w:u w:val="single" w:color="000000"/>
      <w:lang w:val="en-US" w:eastAsia="en-US" w:bidi="en-US"/>
    </w:rPr>
  </w:style>
  <w:style w:styleId="Heading9" w:type="paragraph">
    <w:name w:val="Heading 9"/>
    <w:basedOn w:val="Normal"/>
    <w:uiPriority w:val="1"/>
    <w:qFormat/>
    <w:pPr>
      <w:spacing w:before="168"/>
      <w:ind w:left="259" w:right="79"/>
      <w:jc w:val="center"/>
      <w:outlineLvl w:val="9"/>
    </w:pPr>
    <w:rPr>
      <w:rFonts w:ascii="Arial Black" w:hAnsi="Arial Black" w:eastAsia="Arial Black" w:cs="Arial Black"/>
      <w:sz w:val="33"/>
      <w:szCs w:val="33"/>
      <w:lang w:val="en-US" w:eastAsia="en-US" w:bidi="en-US"/>
    </w:rPr>
  </w:style>
  <w:style w:styleId="ListParagraph" w:type="paragraph">
    <w:name w:val="List Paragraph"/>
    <w:basedOn w:val="Normal"/>
    <w:uiPriority w:val="1"/>
    <w:qFormat/>
    <w:pPr>
      <w:spacing w:before="135"/>
      <w:ind w:left="359" w:hanging="398"/>
    </w:pPr>
    <w:rPr>
      <w:rFonts w:ascii="Arial" w:hAnsi="Arial" w:eastAsia="Arial" w:cs="Arial"/>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http://www.laboremploymentlaw.org/" TargetMode="External"/><Relationship Id="rId7" Type="http://schemas.openxmlformats.org/officeDocument/2006/relationships/header" Target="header1.xml"/><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https://member.floridabar.org/s/lt-event?id=a1R1R0000052CxOUAU" TargetMode="External"/><Relationship Id="rId15" Type="http://schemas.openxmlformats.org/officeDocument/2006/relationships/header" Target="header3.xml"/><Relationship Id="rId16" Type="http://schemas.openxmlformats.org/officeDocument/2006/relationships/footer" Target="footer2.xml"/><Relationship Id="rId17" Type="http://schemas.openxmlformats.org/officeDocument/2006/relationships/image" Target="media/image6.jpeg"/><Relationship Id="rId18" Type="http://schemas.openxmlformats.org/officeDocument/2006/relationships/hyperlink" Target="http://www.scotusblog.com/case-files/" TargetMode="External"/><Relationship Id="rId19" Type="http://schemas.openxmlformats.org/officeDocument/2006/relationships/header" Target="header4.xml"/><Relationship Id="rId20" Type="http://schemas.openxmlformats.org/officeDocument/2006/relationships/footer" Target="footer3.xml"/><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header" Target="header5.xml"/><Relationship Id="rId25" Type="http://schemas.openxmlformats.org/officeDocument/2006/relationships/footer" Target="footer4.xml"/><Relationship Id="rId26" Type="http://schemas.openxmlformats.org/officeDocument/2006/relationships/image" Target="media/image10.jpeg"/><Relationship Id="rId27" Type="http://schemas.openxmlformats.org/officeDocument/2006/relationships/image" Target="media/image11.png"/><Relationship Id="rId28" Type="http://schemas.openxmlformats.org/officeDocument/2006/relationships/hyperlink" Target="https://www.floridabar.org/news/meetings/meetings001/" TargetMode="External"/><Relationship Id="rId29" Type="http://schemas.openxmlformats.org/officeDocument/2006/relationships/image" Target="media/image12.jpeg"/><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image" Target="media/image27.png"/><Relationship Id="rId45" Type="http://schemas.openxmlformats.org/officeDocument/2006/relationships/image" Target="media/image28.png"/><Relationship Id="rId46" Type="http://schemas.openxmlformats.org/officeDocument/2006/relationships/image" Target="media/image29.png"/><Relationship Id="rId47" Type="http://schemas.openxmlformats.org/officeDocument/2006/relationships/image" Target="media/image30.png"/><Relationship Id="rId48" Type="http://schemas.openxmlformats.org/officeDocument/2006/relationships/image" Target="media/image31.png"/><Relationship Id="rId49" Type="http://schemas.openxmlformats.org/officeDocument/2006/relationships/image" Target="media/image32.png"/><Relationship Id="rId50" Type="http://schemas.openxmlformats.org/officeDocument/2006/relationships/image" Target="media/image33.png"/><Relationship Id="rId51" Type="http://schemas.openxmlformats.org/officeDocument/2006/relationships/image" Target="media/image34.png"/><Relationship Id="rId52" Type="http://schemas.openxmlformats.org/officeDocument/2006/relationships/image" Target="media/image35.png"/><Relationship Id="rId53" Type="http://schemas.openxmlformats.org/officeDocument/2006/relationships/image" Target="media/image36.png"/><Relationship Id="rId54" Type="http://schemas.openxmlformats.org/officeDocument/2006/relationships/image" Target="media/image37.png"/><Relationship Id="rId55" Type="http://schemas.openxmlformats.org/officeDocument/2006/relationships/image" Target="media/image38.png"/><Relationship Id="rId56" Type="http://schemas.openxmlformats.org/officeDocument/2006/relationships/header" Target="header6.xml"/><Relationship Id="rId57" Type="http://schemas.openxmlformats.org/officeDocument/2006/relationships/footer" Target="footer5.xml"/><Relationship Id="rId58" Type="http://schemas.openxmlformats.org/officeDocument/2006/relationships/image" Target="media/image39.png"/><Relationship Id="rId59" Type="http://schemas.openxmlformats.org/officeDocument/2006/relationships/image" Target="media/image40.png"/><Relationship Id="rId60" Type="http://schemas.openxmlformats.org/officeDocument/2006/relationships/image" Target="media/image41.png"/><Relationship Id="rId61" Type="http://schemas.openxmlformats.org/officeDocument/2006/relationships/image" Target="media/image42.png"/><Relationship Id="rId62" Type="http://schemas.openxmlformats.org/officeDocument/2006/relationships/hyperlink" Target="https://www.floridabar.org/about/cert/cert-le/" TargetMode="External"/><Relationship Id="rId63" Type="http://schemas.openxmlformats.org/officeDocument/2006/relationships/header" Target="header7.xml"/><Relationship Id="rId64" Type="http://schemas.openxmlformats.org/officeDocument/2006/relationships/footer" Target="footer6.xml"/><Relationship Id="rId65" Type="http://schemas.openxmlformats.org/officeDocument/2006/relationships/header" Target="header8.xml"/><Relationship Id="rId66" Type="http://schemas.openxmlformats.org/officeDocument/2006/relationships/footer" Target="footer7.xml"/><Relationship Id="rId67" Type="http://schemas.openxmlformats.org/officeDocument/2006/relationships/header" Target="header9.xml"/><Relationship Id="rId68" Type="http://schemas.openxmlformats.org/officeDocument/2006/relationships/footer" Target="footer8.xml"/><Relationship Id="rId69" Type="http://schemas.openxmlformats.org/officeDocument/2006/relationships/image" Target="media/image43.jpeg"/><Relationship Id="rId70" Type="http://schemas.openxmlformats.org/officeDocument/2006/relationships/header" Target="header10.xml"/><Relationship Id="rId71" Type="http://schemas.openxmlformats.org/officeDocument/2006/relationships/footer" Target="footer9.xml"/><Relationship Id="rId72" Type="http://schemas.openxmlformats.org/officeDocument/2006/relationships/hyperlink" Target="http://www.floridabar.org/memberbenefits" TargetMode="External"/><Relationship Id="rId73" Type="http://schemas.openxmlformats.org/officeDocument/2006/relationships/image" Target="media/image44.jpeg"/><Relationship Id="rId74" Type="http://schemas.openxmlformats.org/officeDocument/2006/relationships/header" Target="header11.xml"/><Relationship Id="rId75" Type="http://schemas.openxmlformats.org/officeDocument/2006/relationships/footer" Target="footer10.xml"/><Relationship Id="rId76" Type="http://schemas.openxmlformats.org/officeDocument/2006/relationships/header" Target="header12.xml"/><Relationship Id="rId77" Type="http://schemas.openxmlformats.org/officeDocument/2006/relationships/footer" Target="footer11.xml"/><Relationship Id="rId78" Type="http://schemas.openxmlformats.org/officeDocument/2006/relationships/image" Target="media/image45.jpeg"/><Relationship Id="rId79" Type="http://schemas.openxmlformats.org/officeDocument/2006/relationships/header" Target="header13.xml"/><Relationship Id="rId80" Type="http://schemas.openxmlformats.org/officeDocument/2006/relationships/footer" Target="footer12.xml"/><Relationship Id="rId81" Type="http://schemas.openxmlformats.org/officeDocument/2006/relationships/image" Target="media/image46.png"/><Relationship Id="rId82" Type="http://schemas.openxmlformats.org/officeDocument/2006/relationships/image" Target="media/image47.png"/><Relationship Id="rId83" Type="http://schemas.openxmlformats.org/officeDocument/2006/relationships/hyperlink" Target="https://tfb.inreachce.com/Details/Information/54b75e1f-de69-4e14-a525-a42bc145e153" TargetMode="External"/><Relationship Id="rId84" Type="http://schemas.openxmlformats.org/officeDocument/2006/relationships/header" Target="header14.xml"/><Relationship Id="rId85" Type="http://schemas.openxmlformats.org/officeDocument/2006/relationships/footer" Target="footer13.xml"/><Relationship Id="rId86" Type="http://schemas.openxmlformats.org/officeDocument/2006/relationships/image" Target="media/image48.png"/><Relationship Id="rId87" Type="http://schemas.openxmlformats.org/officeDocument/2006/relationships/image" Target="media/image49.jpeg"/><Relationship Id="rId88" Type="http://schemas.openxmlformats.org/officeDocument/2006/relationships/image" Target="media/image50.png"/><Relationship Id="rId89" Type="http://schemas.openxmlformats.org/officeDocument/2006/relationships/image" Target="media/image51.png"/><Relationship Id="rId90" Type="http://schemas.openxmlformats.org/officeDocument/2006/relationships/header" Target="header15.xml"/><Relationship Id="rId91" Type="http://schemas.openxmlformats.org/officeDocument/2006/relationships/footer" Target="footer14.xml"/><Relationship Id="rId9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2019-04-15T15:52:39Z</dcterms:created>
  <dcterms:modified xsi:type="dcterms:W3CDTF">2019-04-15T15:52:39Z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2019-04-09T00:00:00Z</vt:filetime>
  </property>
  <property fmtid="{D5CDD505-2E9C-101B-9397-08002B2CF9AE}" pid="3" name="Creator">
    <vt:lpwstr>Adobe InDesign CS6 (Windows)</vt:lpwstr>
  </property>
  <property fmtid="{D5CDD505-2E9C-101B-9397-08002B2CF9AE}" pid="4" name="LastSaved">
    <vt:filetime>2019-04-15T00:00:00Z</vt:filetime>
  </property>
</Properties>
</file>