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sz w:val="20"/>
        </w:rPr>
      </w:pPr>
      <w:r>
        <w:rPr/>
        <w:drawing>
          <wp:anchor distT="0" distB="0" distL="0" distR="0" allowOverlap="1" layoutInCell="1" locked="0" behindDoc="0" simplePos="0" relativeHeight="251658240">
            <wp:simplePos x="0" y="0"/>
            <wp:positionH relativeFrom="page">
              <wp:posOffset>248295</wp:posOffset>
            </wp:positionH>
            <wp:positionV relativeFrom="page">
              <wp:posOffset>345945</wp:posOffset>
            </wp:positionV>
            <wp:extent cx="1765015" cy="9416787"/>
            <wp:effectExtent l="0" t="0" r="0" b="0"/>
            <wp:wrapNone/>
            <wp:docPr id="1" name="image1.jpeg" descr="CHAIR Cathleen A. Scott Scott Wagner and Associates, P.A. 250 S. Central Blvd., 104-A Jupiter, FL 33458 (561) 653-0008 cscott@floridalaborlawyer.com CHAIR-ELECT David W. Adams Bennett Jacobs &amp; Adams, P.A. 1925 E. 2nd Avenue Tampa, FL 33601 (813) 272-1400 dadams@bja-law.com SECRETARY/TREASURER Hon. Alan Orantes Forst Fourth District Court of Appeal 110 S. Tamarind Avenue West Palm Beach, FL 33401 (561) 242-2078 forsta@flcourts.org LEGAL EDUCATION DIRECTOR Robyn S. Hankins Robyn S. Hankins, PL 4600 Military Trail, Suite 217 Jupiter, FL 33458 (561) 721-3890 IMMEDIATE PAST CHAIR Zascha Blanco Abbott  Liebler, Gonzalez &amp; Portuondo  44 West Flagler Street  Courthouse Tower, 25th Floor  Miami, Florida 33130  (305) 379-0400  zba@lgplaw.com BOARD LIAISON Joshua T. Chilson Johnson, Pope, Boker, Ruppel &amp; Burns, LLP josh@jpfirm.com EXECUTIVE COUNCIL Terms Expiring 2019 David E. Block, Miami Sacha Dyson, Tampa Yvette D. Everhart, Tampa Richard E. Johnson, Tallahassee Jay P. Lechner, Saint Petersburg Brian L. Lerner, Fort Lauderdale Carlo D. Marichal, Plantation Patrick Martin, Miami Hon. Stephanie Williams Ray, Tallahassee David H. Spalter, Winter Park Leslie Reicin Stein, Tampa Terms Expiring 2020 Scott E. Atwood, Fort Myers Ryan D. Barack, Clearwater Robert M. Eschenfelder, Bradenton Karen Evans, Miami Chelsie J. Flynn, Orlando Kristen Foslid, Miami Jennifer Fowler-Hermes, Sarasota Hon. Robert L. Kilbride, Stuart Gregg R. Morton, Tallahassee Marlene Quintana, Miami Cristina Velez, Tallahassee Lindsey Wagner, Jupiter (Alternate) PAST CHAIRS Deborah C. Brown, Tampa Hon. Frank E. Brown, Tallahassee Sherril M. Colombo, Miami Gregory A. Hearing, Tampa Eric J. Holshouser, Jacksonville F. Damon Kitchen, Jacksonville Leslie W. Langbein, Miami Lakes Stephen A. Meck, Tallahassee Shane T. Muñoz, Tampa Cynthia N. Sass, Tampa Jill S. Schwartz, Winter Park Robert S. Turk, Miami PROGRAM ADMINISTRATOR Angie Froelich The Florida Bar 651 E. Jefferson Street Tallahassee, FL 32399 (850) 561-5633 afroelich@floridabar.org "/>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765015" cy="9416787"/>
                    </a:xfrm>
                    <a:prstGeom prst="rect">
                      <a:avLst/>
                    </a:prstGeom>
                  </pic:spPr>
                </pic:pic>
              </a:graphicData>
            </a:graphic>
          </wp:anchor>
        </w:drawing>
      </w:r>
    </w:p>
    <w:p>
      <w:pPr>
        <w:spacing w:line="240" w:lineRule="auto" w:before="6" w:after="0"/>
        <w:rPr>
          <w:sz w:val="21"/>
        </w:rPr>
      </w:pPr>
    </w:p>
    <w:p>
      <w:pPr>
        <w:spacing w:line="240" w:lineRule="auto"/>
        <w:ind w:left="3329" w:right="0" w:firstLine="0"/>
        <w:rPr>
          <w:sz w:val="20"/>
        </w:rPr>
      </w:pPr>
      <w:r>
        <w:rPr>
          <w:sz w:val="20"/>
        </w:rPr>
        <w:drawing>
          <wp:inline distT="0" distB="0" distL="0" distR="0">
            <wp:extent cx="5175504" cy="1274064"/>
            <wp:effectExtent l="0" t="0" r="0" b="0"/>
            <wp:docPr id="3" name="image2.jpeg" descr="Labor and Employment Law Section www.laboremploymentlaw.or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175504" cy="1274064"/>
                    </a:xfrm>
                    <a:prstGeom prst="rect">
                      <a:avLst/>
                    </a:prstGeom>
                  </pic:spPr>
                </pic:pic>
              </a:graphicData>
            </a:graphic>
          </wp:inline>
        </w:drawing>
      </w:r>
      <w:r>
        <w:rPr>
          <w:sz w:val="20"/>
        </w:rPr>
      </w:r>
    </w:p>
    <w:p>
      <w:pPr>
        <w:spacing w:line="240" w:lineRule="auto" w:before="1"/>
        <w:rPr>
          <w:sz w:val="17"/>
        </w:rPr>
      </w:pPr>
    </w:p>
    <w:p>
      <w:pPr>
        <w:pStyle w:val="BodyText"/>
        <w:spacing w:before="90"/>
        <w:ind w:left="2240" w:right="127"/>
        <w:jc w:val="center"/>
        <w:rPr>
          <w:rFonts w:ascii="Times New Roman"/>
        </w:rPr>
      </w:pPr>
      <w:bookmarkStart w:name="1 - Agenda Cover - Final" w:id="1"/>
      <w:bookmarkEnd w:id="1"/>
      <w:r>
        <w:rPr/>
      </w:r>
      <w:r>
        <w:rPr>
          <w:rFonts w:ascii="Times New Roman"/>
        </w:rPr>
        <w:t>January 16, 2019</w:t>
      </w:r>
    </w:p>
    <w:p>
      <w:pPr>
        <w:spacing w:line="240" w:lineRule="auto" w:before="0"/>
        <w:rPr>
          <w:sz w:val="26"/>
        </w:rPr>
      </w:pPr>
    </w:p>
    <w:p>
      <w:pPr>
        <w:spacing w:line="240" w:lineRule="auto" w:before="0"/>
        <w:rPr>
          <w:sz w:val="22"/>
        </w:rPr>
      </w:pPr>
    </w:p>
    <w:p>
      <w:pPr>
        <w:spacing w:before="0"/>
        <w:ind w:left="3175" w:right="0" w:firstLine="0"/>
        <w:jc w:val="both"/>
        <w:rPr>
          <w:b/>
          <w:sz w:val="24"/>
        </w:rPr>
      </w:pPr>
      <w:r>
        <w:rPr>
          <w:sz w:val="24"/>
        </w:rPr>
        <w:t>Re: Agenda – January 17, 2019 at </w:t>
      </w:r>
      <w:r>
        <w:rPr>
          <w:b/>
          <w:sz w:val="24"/>
        </w:rPr>
        <w:t>5:00 p.m. e.s.t.</w:t>
      </w:r>
    </w:p>
    <w:p>
      <w:pPr>
        <w:spacing w:line="240" w:lineRule="auto" w:before="0"/>
        <w:rPr>
          <w:b/>
          <w:sz w:val="24"/>
        </w:rPr>
      </w:pPr>
    </w:p>
    <w:p>
      <w:pPr>
        <w:pStyle w:val="BodyText"/>
        <w:ind w:left="3175" w:right="1116"/>
        <w:jc w:val="both"/>
        <w:rPr>
          <w:rFonts w:ascii="Times New Roman"/>
        </w:rPr>
      </w:pPr>
      <w:r>
        <w:rPr>
          <w:rFonts w:ascii="Times New Roman"/>
        </w:rPr>
        <w:t>Dear Labor and Employment Law Section Executive Council Members and Committee Chairs,</w:t>
      </w:r>
    </w:p>
    <w:p>
      <w:pPr>
        <w:spacing w:line="240" w:lineRule="auto" w:before="0"/>
        <w:rPr>
          <w:sz w:val="24"/>
        </w:rPr>
      </w:pPr>
    </w:p>
    <w:p>
      <w:pPr>
        <w:pStyle w:val="BodyText"/>
        <w:ind w:left="3175" w:right="1055"/>
        <w:jc w:val="both"/>
        <w:rPr>
          <w:rFonts w:ascii="Times New Roman"/>
        </w:rPr>
      </w:pPr>
      <w:r>
        <w:rPr>
          <w:rFonts w:ascii="Times New Roman"/>
        </w:rPr>
        <w:t>The Labor &amp; Employment Law Section executive council meeting will take place on Thursday, January 17, 2019, at 5:00 p.m. e.s.t. at the Doubletree by Hilton Orlando at SeaWorld, 10100 International Drive, Orlando, FL 32821, (407)</w:t>
      </w:r>
      <w:r>
        <w:rPr>
          <w:rFonts w:ascii="Times New Roman"/>
          <w:spacing w:val="-2"/>
        </w:rPr>
        <w:t> </w:t>
      </w:r>
      <w:r>
        <w:rPr>
          <w:rFonts w:ascii="Times New Roman"/>
        </w:rPr>
        <w:t>352-1100.</w:t>
      </w:r>
    </w:p>
    <w:p>
      <w:pPr>
        <w:spacing w:line="240" w:lineRule="auto" w:before="0"/>
        <w:rPr>
          <w:sz w:val="24"/>
        </w:rPr>
      </w:pPr>
    </w:p>
    <w:p>
      <w:pPr>
        <w:pStyle w:val="BodyText"/>
        <w:ind w:left="3176"/>
        <w:jc w:val="both"/>
        <w:rPr>
          <w:rFonts w:ascii="Times New Roman"/>
        </w:rPr>
      </w:pPr>
      <w:r>
        <w:rPr>
          <w:rFonts w:ascii="Times New Roman"/>
          <w:shd w:fill="FFFF00" w:color="auto" w:val="clear"/>
        </w:rPr>
        <w:t>The Wi-Fi Passcode at Winter Meeting is flabar.</w:t>
      </w:r>
    </w:p>
    <w:p>
      <w:pPr>
        <w:spacing w:line="240" w:lineRule="auto" w:before="0"/>
        <w:rPr>
          <w:sz w:val="24"/>
        </w:rPr>
      </w:pPr>
    </w:p>
    <w:p>
      <w:pPr>
        <w:pStyle w:val="BodyText"/>
        <w:ind w:left="3176"/>
        <w:jc w:val="both"/>
        <w:rPr>
          <w:rFonts w:ascii="Times New Roman"/>
        </w:rPr>
      </w:pPr>
      <w:r>
        <w:rPr>
          <w:rFonts w:ascii="Times New Roman"/>
        </w:rPr>
        <w:t>The agenda and supporting documents for this meeting are attached.</w:t>
      </w:r>
    </w:p>
    <w:p>
      <w:pPr>
        <w:spacing w:line="240" w:lineRule="auto" w:before="0"/>
        <w:rPr>
          <w:sz w:val="24"/>
        </w:rPr>
      </w:pPr>
    </w:p>
    <w:p>
      <w:pPr>
        <w:pStyle w:val="BodyText"/>
        <w:ind w:left="3175" w:right="1311"/>
        <w:rPr>
          <w:rFonts w:ascii="Times New Roman"/>
        </w:rPr>
      </w:pPr>
      <w:r>
        <w:rPr>
          <w:rFonts w:ascii="Times New Roman"/>
        </w:rPr>
        <w:t>For those who cannot attend in person, conference call information is listed below.</w:t>
      </w:r>
    </w:p>
    <w:p>
      <w:pPr>
        <w:spacing w:line="240" w:lineRule="auto" w:before="4"/>
        <w:rPr>
          <w:sz w:val="23"/>
        </w:rPr>
      </w:pPr>
    </w:p>
    <w:p>
      <w:pPr>
        <w:pStyle w:val="BodyText"/>
        <w:spacing w:before="1"/>
        <w:ind w:left="3176"/>
        <w:rPr>
          <w:rFonts w:ascii="Times New Roman"/>
        </w:rPr>
      </w:pPr>
      <w:r>
        <w:rPr>
          <w:rFonts w:ascii="Times New Roman"/>
          <w:shd w:fill="FFFF00" w:color="auto" w:val="clear"/>
        </w:rPr>
        <w:t>Toll-free number: 888-376-5050</w:t>
      </w:r>
    </w:p>
    <w:p>
      <w:pPr>
        <w:pStyle w:val="BodyText"/>
        <w:spacing w:before="21"/>
        <w:ind w:left="3176"/>
        <w:rPr>
          <w:rFonts w:ascii="Times New Roman"/>
        </w:rPr>
      </w:pPr>
      <w:r>
        <w:rPr>
          <w:rFonts w:ascii="Times New Roman"/>
          <w:shd w:fill="FFFF00" w:color="auto" w:val="clear"/>
        </w:rPr>
        <w:t>Conference Code: 1563821345 </w:t>
      </w:r>
    </w:p>
    <w:p>
      <w:pPr>
        <w:spacing w:line="240" w:lineRule="auto" w:before="0"/>
        <w:rPr>
          <w:sz w:val="24"/>
        </w:rPr>
      </w:pPr>
    </w:p>
    <w:p>
      <w:pPr>
        <w:pStyle w:val="Heading6"/>
        <w:ind w:left="3176"/>
        <w:jc w:val="left"/>
        <w:rPr>
          <w:rFonts w:ascii="Times New Roman"/>
        </w:rPr>
      </w:pPr>
      <w:r>
        <w:rPr>
          <w:rFonts w:ascii="Times New Roman"/>
        </w:rPr>
        <w:t>HOTEL ROOM ASSIGNMENTS</w:t>
      </w:r>
    </w:p>
    <w:p>
      <w:pPr>
        <w:spacing w:line="240" w:lineRule="auto" w:before="0"/>
        <w:rPr>
          <w:b/>
          <w:sz w:val="24"/>
        </w:rPr>
      </w:pPr>
    </w:p>
    <w:p>
      <w:pPr>
        <w:spacing w:before="0"/>
        <w:ind w:left="3176" w:right="0" w:firstLine="0"/>
        <w:jc w:val="left"/>
        <w:rPr>
          <w:b/>
          <w:sz w:val="22"/>
        </w:rPr>
      </w:pPr>
      <w:r>
        <w:rPr>
          <w:b/>
          <w:sz w:val="22"/>
          <w:u w:val="thick"/>
        </w:rPr>
        <w:t>Thursday, January 17, 2019</w:t>
      </w:r>
    </w:p>
    <w:p>
      <w:pPr>
        <w:spacing w:line="240" w:lineRule="auto" w:before="8"/>
        <w:rPr>
          <w:b/>
          <w:sz w:val="20"/>
        </w:rPr>
      </w:pPr>
    </w:p>
    <w:p>
      <w:pPr>
        <w:pStyle w:val="BodyText"/>
        <w:tabs>
          <w:tab w:pos="6055" w:val="left" w:leader="none"/>
        </w:tabs>
        <w:ind w:left="3176" w:right="1311"/>
        <w:rPr>
          <w:rFonts w:ascii="Times New Roman" w:hAnsi="Times New Roman"/>
        </w:rPr>
      </w:pPr>
      <w:r>
        <w:rPr>
          <w:rFonts w:ascii="Times New Roman" w:hAnsi="Times New Roman"/>
        </w:rPr>
        <w:t>8:10 a.m. –</w:t>
      </w:r>
      <w:r>
        <w:rPr>
          <w:rFonts w:ascii="Times New Roman" w:hAnsi="Times New Roman"/>
          <w:spacing w:val="-1"/>
        </w:rPr>
        <w:t> </w:t>
      </w:r>
      <w:r>
        <w:rPr>
          <w:rFonts w:ascii="Times New Roman" w:hAnsi="Times New Roman"/>
        </w:rPr>
        <w:t>4:45 p.m.</w:t>
        <w:tab/>
        <w:t>19</w:t>
      </w:r>
      <w:r>
        <w:rPr>
          <w:rFonts w:ascii="Times New Roman" w:hAnsi="Times New Roman"/>
          <w:position w:val="9"/>
          <w:sz w:val="16"/>
        </w:rPr>
        <w:t>th </w:t>
      </w:r>
      <w:r>
        <w:rPr>
          <w:rFonts w:ascii="Times New Roman" w:hAnsi="Times New Roman"/>
          <w:spacing w:val="-3"/>
        </w:rPr>
        <w:t>LE </w:t>
      </w:r>
      <w:r>
        <w:rPr>
          <w:rFonts w:ascii="Times New Roman" w:hAnsi="Times New Roman"/>
        </w:rPr>
        <w:t>Update &amp; Cert Review (Majestic 1) 11:40 a.m. –</w:t>
      </w:r>
      <w:r>
        <w:rPr>
          <w:rFonts w:ascii="Times New Roman" w:hAnsi="Times New Roman"/>
          <w:spacing w:val="-1"/>
        </w:rPr>
        <w:t> </w:t>
      </w:r>
      <w:r>
        <w:rPr>
          <w:rFonts w:ascii="Times New Roman" w:hAnsi="Times New Roman"/>
        </w:rPr>
        <w:t>12:40 p.m.</w:t>
        <w:tab/>
        <w:t>2882 Lunch (Majestic 2)</w:t>
      </w:r>
    </w:p>
    <w:p>
      <w:pPr>
        <w:pStyle w:val="BodyText"/>
        <w:tabs>
          <w:tab w:pos="6055" w:val="left" w:leader="none"/>
        </w:tabs>
        <w:ind w:left="3176" w:right="2590"/>
        <w:rPr>
          <w:rFonts w:ascii="Times New Roman" w:hAnsi="Times New Roman"/>
        </w:rPr>
      </w:pPr>
      <w:r>
        <w:rPr>
          <w:rFonts w:ascii="Times New Roman" w:hAnsi="Times New Roman"/>
        </w:rPr>
        <w:t>5:00 p.m. – 6:00 p.m.</w:t>
        <w:tab/>
        <w:t>Labor EC Meeting (Harbor A) 6:00 p.m. –</w:t>
      </w:r>
      <w:r>
        <w:rPr>
          <w:rFonts w:ascii="Times New Roman" w:hAnsi="Times New Roman"/>
          <w:spacing w:val="-1"/>
        </w:rPr>
        <w:t> </w:t>
      </w:r>
      <w:r>
        <w:rPr>
          <w:rFonts w:ascii="Times New Roman" w:hAnsi="Times New Roman"/>
        </w:rPr>
        <w:t>7:00 p.m.</w:t>
        <w:tab/>
        <w:t>Reception (Majestic</w:t>
      </w:r>
      <w:r>
        <w:rPr>
          <w:rFonts w:ascii="Times New Roman" w:hAnsi="Times New Roman"/>
          <w:spacing w:val="-1"/>
        </w:rPr>
        <w:t> </w:t>
      </w:r>
      <w:r>
        <w:rPr>
          <w:rFonts w:ascii="Times New Roman" w:hAnsi="Times New Roman"/>
        </w:rPr>
        <w:t>2)</w:t>
      </w:r>
    </w:p>
    <w:p>
      <w:pPr>
        <w:pStyle w:val="BodyText"/>
        <w:tabs>
          <w:tab w:pos="6055" w:val="left" w:leader="none"/>
        </w:tabs>
        <w:ind w:left="3176"/>
        <w:rPr>
          <w:rFonts w:ascii="Times New Roman" w:hAnsi="Times New Roman"/>
        </w:rPr>
      </w:pPr>
      <w:r>
        <w:rPr>
          <w:rFonts w:ascii="Times New Roman" w:hAnsi="Times New Roman"/>
        </w:rPr>
        <w:t>7:00 p.m. – 8:30 p.m.</w:t>
        <w:tab/>
        <w:t>Dessert Reception in Chair’s</w:t>
      </w:r>
      <w:r>
        <w:rPr>
          <w:rFonts w:ascii="Times New Roman" w:hAnsi="Times New Roman"/>
          <w:spacing w:val="-1"/>
        </w:rPr>
        <w:t> </w:t>
      </w:r>
      <w:r>
        <w:rPr>
          <w:rFonts w:ascii="Times New Roman" w:hAnsi="Times New Roman"/>
        </w:rPr>
        <w:t>Suite</w:t>
      </w:r>
    </w:p>
    <w:p>
      <w:pPr>
        <w:spacing w:line="240" w:lineRule="auto" w:before="0"/>
        <w:rPr>
          <w:sz w:val="24"/>
        </w:rPr>
      </w:pPr>
    </w:p>
    <w:p>
      <w:pPr>
        <w:spacing w:before="1"/>
        <w:ind w:left="3176" w:right="0" w:firstLine="0"/>
        <w:jc w:val="left"/>
        <w:rPr>
          <w:b/>
          <w:sz w:val="22"/>
        </w:rPr>
      </w:pPr>
      <w:r>
        <w:rPr>
          <w:b/>
          <w:sz w:val="24"/>
          <w:u w:val="thick"/>
        </w:rPr>
        <w:t>Friday, </w:t>
      </w:r>
      <w:r>
        <w:rPr>
          <w:b/>
          <w:sz w:val="22"/>
          <w:u w:val="thick"/>
        </w:rPr>
        <w:t>January 18, 2019</w:t>
      </w:r>
    </w:p>
    <w:p>
      <w:pPr>
        <w:spacing w:line="240" w:lineRule="auto" w:before="7"/>
        <w:rPr>
          <w:b/>
          <w:sz w:val="22"/>
        </w:rPr>
      </w:pPr>
    </w:p>
    <w:p>
      <w:pPr>
        <w:pStyle w:val="BodyText"/>
        <w:tabs>
          <w:tab w:pos="6055" w:val="left" w:leader="none"/>
        </w:tabs>
        <w:ind w:left="3175" w:right="1311"/>
        <w:rPr>
          <w:rFonts w:ascii="Times New Roman" w:hAnsi="Times New Roman"/>
        </w:rPr>
      </w:pPr>
      <w:r>
        <w:rPr>
          <w:rFonts w:ascii="Times New Roman" w:hAnsi="Times New Roman"/>
        </w:rPr>
        <w:t>8:00 a.m. –</w:t>
      </w:r>
      <w:r>
        <w:rPr>
          <w:rFonts w:ascii="Times New Roman" w:hAnsi="Times New Roman"/>
          <w:spacing w:val="-1"/>
        </w:rPr>
        <w:t> </w:t>
      </w:r>
      <w:r>
        <w:rPr>
          <w:rFonts w:ascii="Times New Roman" w:hAnsi="Times New Roman"/>
        </w:rPr>
        <w:t>4:30 p.m.</w:t>
        <w:tab/>
        <w:t>19</w:t>
      </w:r>
      <w:r>
        <w:rPr>
          <w:rFonts w:ascii="Times New Roman" w:hAnsi="Times New Roman"/>
          <w:position w:val="9"/>
          <w:sz w:val="16"/>
        </w:rPr>
        <w:t>th </w:t>
      </w:r>
      <w:r>
        <w:rPr>
          <w:rFonts w:ascii="Times New Roman" w:hAnsi="Times New Roman"/>
          <w:spacing w:val="-3"/>
        </w:rPr>
        <w:t>LE </w:t>
      </w:r>
      <w:r>
        <w:rPr>
          <w:rFonts w:ascii="Times New Roman" w:hAnsi="Times New Roman"/>
        </w:rPr>
        <w:t>Update &amp; Cert Review (Majestic 1) 12:05 p.m. – 1:35 p.m.</w:t>
        <w:tab/>
        <w:t>2882 Lunch (Majestic 2)</w:t>
      </w:r>
    </w:p>
    <w:p>
      <w:pPr>
        <w:spacing w:line="240" w:lineRule="auto" w:before="0"/>
        <w:rPr>
          <w:sz w:val="24"/>
        </w:rPr>
      </w:pPr>
    </w:p>
    <w:p>
      <w:pPr>
        <w:pStyle w:val="BodyText"/>
        <w:spacing w:line="480" w:lineRule="auto"/>
        <w:ind w:left="3175" w:right="4505"/>
        <w:rPr>
          <w:rFonts w:ascii="Times New Roman"/>
        </w:rPr>
      </w:pPr>
      <w:r>
        <w:rPr>
          <w:rFonts w:ascii="Times New Roman"/>
        </w:rPr>
        <w:t>I look forward to seeing you in Orlando. Angie</w:t>
      </w:r>
    </w:p>
    <w:p>
      <w:pPr>
        <w:spacing w:line="240" w:lineRule="auto" w:before="6"/>
        <w:rPr>
          <w:sz w:val="26"/>
        </w:rPr>
      </w:pPr>
    </w:p>
    <w:p>
      <w:pPr>
        <w:spacing w:before="0"/>
        <w:ind w:left="4088" w:right="0" w:firstLine="0"/>
        <w:jc w:val="left"/>
        <w:rPr>
          <w:rFonts w:ascii="Calibri" w:hAnsi="Calibri"/>
          <w:b/>
          <w:sz w:val="20"/>
        </w:rPr>
      </w:pPr>
      <w:r>
        <w:rPr>
          <w:rFonts w:ascii="Calibri" w:hAnsi="Calibri"/>
          <w:b/>
          <w:sz w:val="20"/>
        </w:rPr>
        <w:t>THE FLORIDA BAR </w:t>
      </w:r>
      <w:r>
        <w:rPr>
          <w:rFonts w:ascii="Wingdings" w:hAnsi="Wingdings"/>
          <w:sz w:val="20"/>
        </w:rPr>
        <w:t></w:t>
      </w:r>
      <w:r>
        <w:rPr>
          <w:sz w:val="20"/>
        </w:rPr>
        <w:t> </w:t>
      </w:r>
      <w:r>
        <w:rPr>
          <w:rFonts w:ascii="Calibri" w:hAnsi="Calibri"/>
          <w:b/>
          <w:sz w:val="20"/>
        </w:rPr>
        <w:t>651 E. JEFFERSON STREET </w:t>
      </w:r>
      <w:r>
        <w:rPr>
          <w:rFonts w:ascii="Wingdings" w:hAnsi="Wingdings"/>
          <w:sz w:val="20"/>
        </w:rPr>
        <w:t></w:t>
      </w:r>
      <w:r>
        <w:rPr>
          <w:sz w:val="20"/>
        </w:rPr>
        <w:t> </w:t>
      </w:r>
      <w:r>
        <w:rPr>
          <w:rFonts w:ascii="Calibri" w:hAnsi="Calibri"/>
          <w:b/>
          <w:sz w:val="20"/>
        </w:rPr>
        <w:t>TALLAHASSEE, FLORIDA 32399-2300</w:t>
      </w:r>
    </w:p>
    <w:p>
      <w:pPr>
        <w:spacing w:after="0"/>
        <w:jc w:val="left"/>
        <w:rPr>
          <w:rFonts w:ascii="Calibri" w:hAnsi="Calibri"/>
          <w:sz w:val="20"/>
        </w:rPr>
        <w:sectPr>
          <w:type w:val="continuous"/>
          <w:pgSz w:w="12240" w:h="15840"/>
          <w:pgMar w:top="540" w:bottom="280" w:left="280" w:right="380"/>
        </w:sectPr>
      </w:pPr>
    </w:p>
    <w:p>
      <w:pPr>
        <w:pStyle w:val="BodyText"/>
        <w:ind w:left="4741"/>
        <w:rPr>
          <w:rFonts w:ascii="Calibri"/>
          <w:sz w:val="20"/>
        </w:rPr>
      </w:pPr>
      <w:r>
        <w:rPr>
          <w:rFonts w:ascii="Calibri"/>
          <w:sz w:val="20"/>
        </w:rPr>
        <w:drawing>
          <wp:inline distT="0" distB="0" distL="0" distR="0">
            <wp:extent cx="1420749" cy="1416557"/>
            <wp:effectExtent l="0" t="0" r="0" b="0"/>
            <wp:docPr id="5" name="image3.jpeg" descr="H:\SECTIONS\LABOR\17-18 LABOR\LOGO\LEL-Logo-FINAL-Blue - salesforce with white background.jp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420749" cy="1416557"/>
                    </a:xfrm>
                    <a:prstGeom prst="rect">
                      <a:avLst/>
                    </a:prstGeom>
                  </pic:spPr>
                </pic:pic>
              </a:graphicData>
            </a:graphic>
          </wp:inline>
        </w:drawing>
      </w:r>
      <w:r>
        <w:rPr>
          <w:rFonts w:ascii="Calibri"/>
          <w:sz w:val="20"/>
        </w:rPr>
      </w:r>
    </w:p>
    <w:p>
      <w:pPr>
        <w:spacing w:before="158"/>
        <w:ind w:left="1713" w:right="1491" w:firstLine="0"/>
        <w:jc w:val="center"/>
        <w:rPr>
          <w:b/>
          <w:sz w:val="28"/>
        </w:rPr>
      </w:pPr>
      <w:bookmarkStart w:name="2 - Executive Council Agenda (Final) " w:id="2"/>
      <w:bookmarkEnd w:id="2"/>
      <w:r>
        <w:rPr/>
      </w:r>
      <w:r>
        <w:rPr>
          <w:b/>
          <w:sz w:val="28"/>
          <w:u w:val="thick"/>
        </w:rPr>
        <w:t>AGENDA</w:t>
      </w:r>
    </w:p>
    <w:p>
      <w:pPr>
        <w:spacing w:line="240" w:lineRule="auto" w:before="5"/>
        <w:rPr>
          <w:b/>
          <w:sz w:val="20"/>
        </w:rPr>
      </w:pPr>
    </w:p>
    <w:p>
      <w:pPr>
        <w:pStyle w:val="Heading4"/>
        <w:spacing w:line="259" w:lineRule="auto" w:before="89"/>
        <w:ind w:left="1680"/>
      </w:pPr>
      <w:r>
        <w:rPr/>
        <w:t>Labor and Employment Law Section Executive Council Meeting Doubletree by Hilton Orlando at SeaWorld</w:t>
      </w:r>
    </w:p>
    <w:p>
      <w:pPr>
        <w:spacing w:before="1"/>
        <w:ind w:left="1593" w:right="1491" w:firstLine="0"/>
        <w:jc w:val="center"/>
        <w:rPr>
          <w:sz w:val="28"/>
        </w:rPr>
      </w:pPr>
      <w:r>
        <w:rPr>
          <w:sz w:val="28"/>
        </w:rPr>
        <w:t>10100 International Drive, Orlando, FL 32821</w:t>
      </w:r>
    </w:p>
    <w:p>
      <w:pPr>
        <w:pStyle w:val="BodyText"/>
        <w:spacing w:before="22"/>
        <w:ind w:left="1589" w:right="1491"/>
        <w:jc w:val="center"/>
        <w:rPr>
          <w:rFonts w:ascii="Times New Roman"/>
        </w:rPr>
      </w:pPr>
      <w:r>
        <w:rPr>
          <w:rFonts w:ascii="Times New Roman"/>
        </w:rPr>
        <w:t>Harbor A</w:t>
      </w:r>
    </w:p>
    <w:p>
      <w:pPr>
        <w:spacing w:line="240" w:lineRule="auto" w:before="3"/>
        <w:rPr>
          <w:sz w:val="32"/>
        </w:rPr>
      </w:pPr>
    </w:p>
    <w:p>
      <w:pPr>
        <w:pStyle w:val="Heading3"/>
      </w:pPr>
      <w:r>
        <w:rPr/>
        <w:t>Thursday, January 17, 2019</w:t>
      </w:r>
    </w:p>
    <w:p>
      <w:pPr>
        <w:spacing w:before="26"/>
        <w:ind w:left="1593" w:right="1491" w:firstLine="0"/>
        <w:jc w:val="center"/>
        <w:rPr>
          <w:b/>
          <w:sz w:val="28"/>
        </w:rPr>
      </w:pPr>
      <w:r>
        <w:rPr>
          <w:sz w:val="28"/>
        </w:rPr>
        <w:t>5</w:t>
      </w:r>
      <w:r>
        <w:rPr>
          <w:b/>
          <w:sz w:val="28"/>
        </w:rPr>
        <w:t>:00 p.m. – 6:00 p.m.</w:t>
      </w:r>
    </w:p>
    <w:p>
      <w:pPr>
        <w:pStyle w:val="BodyText"/>
        <w:spacing w:before="25"/>
        <w:ind w:left="1593" w:right="1491"/>
        <w:jc w:val="center"/>
        <w:rPr>
          <w:rFonts w:ascii="Times New Roman"/>
        </w:rPr>
      </w:pPr>
      <w:r>
        <w:rPr>
          <w:rFonts w:ascii="Times New Roman"/>
        </w:rPr>
        <w:t>Call-in Number: 1-888-376-5050</w:t>
      </w:r>
    </w:p>
    <w:p>
      <w:pPr>
        <w:pStyle w:val="BodyText"/>
        <w:spacing w:before="22"/>
        <w:ind w:left="1590" w:right="1491"/>
        <w:jc w:val="center"/>
        <w:rPr>
          <w:rFonts w:ascii="Times New Roman"/>
        </w:rPr>
      </w:pPr>
      <w:r>
        <w:rPr>
          <w:rFonts w:ascii="Times New Roman"/>
        </w:rPr>
        <w:t>Participant Pin: 1563821345</w:t>
      </w:r>
    </w:p>
    <w:p>
      <w:pPr>
        <w:spacing w:line="240" w:lineRule="auto" w:before="10"/>
        <w:rPr>
          <w:sz w:val="19"/>
        </w:rPr>
      </w:pPr>
    </w:p>
    <w:p>
      <w:pPr>
        <w:pStyle w:val="Heading6"/>
        <w:spacing w:before="90"/>
        <w:ind w:left="1654" w:right="1491"/>
        <w:rPr>
          <w:rFonts w:ascii="Times New Roman"/>
        </w:rPr>
      </w:pPr>
      <w:r>
        <w:rPr>
          <w:rFonts w:ascii="Times New Roman"/>
          <w:shd w:fill="FFFF00" w:color="auto" w:val="clear"/>
        </w:rPr>
        <w:t>WI-FI Passcode: flabar</w:t>
      </w:r>
    </w:p>
    <w:p>
      <w:pPr>
        <w:spacing w:line="240" w:lineRule="auto" w:before="0"/>
        <w:rPr>
          <w:b/>
          <w:sz w:val="26"/>
        </w:rPr>
      </w:pPr>
    </w:p>
    <w:p>
      <w:pPr>
        <w:spacing w:line="240" w:lineRule="auto" w:before="8"/>
        <w:rPr>
          <w:b/>
          <w:sz w:val="27"/>
        </w:rPr>
      </w:pPr>
    </w:p>
    <w:p>
      <w:pPr>
        <w:pStyle w:val="ListParagraph"/>
        <w:numPr>
          <w:ilvl w:val="0"/>
          <w:numId w:val="1"/>
        </w:numPr>
        <w:tabs>
          <w:tab w:pos="1519" w:val="left" w:leader="none"/>
          <w:tab w:pos="1520" w:val="left" w:leader="none"/>
        </w:tabs>
        <w:spacing w:line="240" w:lineRule="auto" w:before="0" w:after="0"/>
        <w:ind w:left="1520" w:right="0" w:hanging="720"/>
        <w:jc w:val="left"/>
        <w:rPr>
          <w:rFonts w:ascii="Times New Roman" w:hAnsi="Times New Roman"/>
          <w:sz w:val="24"/>
        </w:rPr>
      </w:pPr>
      <w:r>
        <w:rPr>
          <w:rFonts w:ascii="Times New Roman" w:hAnsi="Times New Roman"/>
          <w:b/>
          <w:sz w:val="24"/>
        </w:rPr>
        <w:t>Call to Order and Introductions </w:t>
      </w:r>
      <w:r>
        <w:rPr>
          <w:rFonts w:ascii="Times New Roman" w:hAnsi="Times New Roman"/>
          <w:sz w:val="24"/>
        </w:rPr>
        <w:t>– Cathleen Scott,</w:t>
      </w:r>
      <w:r>
        <w:rPr>
          <w:rFonts w:ascii="Times New Roman" w:hAnsi="Times New Roman"/>
          <w:spacing w:val="-3"/>
          <w:sz w:val="24"/>
        </w:rPr>
        <w:t> </w:t>
      </w:r>
      <w:r>
        <w:rPr>
          <w:rFonts w:ascii="Times New Roman" w:hAnsi="Times New Roman"/>
          <w:sz w:val="24"/>
        </w:rPr>
        <w:t>Chair</w:t>
      </w:r>
    </w:p>
    <w:p>
      <w:pPr>
        <w:spacing w:line="240" w:lineRule="auto" w:before="0"/>
        <w:rPr>
          <w:sz w:val="26"/>
        </w:rPr>
      </w:pPr>
    </w:p>
    <w:p>
      <w:pPr>
        <w:spacing w:line="240" w:lineRule="auto" w:before="0"/>
        <w:rPr>
          <w:sz w:val="26"/>
        </w:rPr>
      </w:pPr>
    </w:p>
    <w:p>
      <w:pPr>
        <w:spacing w:line="240" w:lineRule="auto" w:before="6"/>
        <w:rPr>
          <w:sz w:val="27"/>
        </w:rPr>
      </w:pPr>
    </w:p>
    <w:p>
      <w:pPr>
        <w:pStyle w:val="ListParagraph"/>
        <w:numPr>
          <w:ilvl w:val="0"/>
          <w:numId w:val="1"/>
        </w:numPr>
        <w:tabs>
          <w:tab w:pos="1505" w:val="left" w:leader="none"/>
          <w:tab w:pos="1506" w:val="left" w:leader="none"/>
        </w:tabs>
        <w:spacing w:line="240" w:lineRule="auto" w:before="0" w:after="0"/>
        <w:ind w:left="1505" w:right="0" w:hanging="721"/>
        <w:jc w:val="left"/>
        <w:rPr>
          <w:rFonts w:ascii="Times New Roman" w:hAnsi="Times New Roman"/>
          <w:sz w:val="24"/>
        </w:rPr>
      </w:pPr>
      <w:bookmarkStart w:name="II. Secretary/Treasurer Report – Alan O." w:id="3"/>
      <w:bookmarkEnd w:id="3"/>
      <w:r>
        <w:rPr/>
      </w:r>
      <w:bookmarkStart w:name="II. Secretary/Treasurer Report – Alan O." w:id="4"/>
      <w:bookmarkEnd w:id="4"/>
      <w:r>
        <w:rPr>
          <w:rFonts w:ascii="Times New Roman" w:hAnsi="Times New Roman"/>
          <w:b/>
          <w:sz w:val="24"/>
        </w:rPr>
        <w:t>S</w:t>
      </w:r>
      <w:r>
        <w:rPr>
          <w:rFonts w:ascii="Times New Roman" w:hAnsi="Times New Roman"/>
          <w:b/>
          <w:sz w:val="24"/>
        </w:rPr>
        <w:t>ecretary/Treasurer Report </w:t>
      </w:r>
      <w:r>
        <w:rPr>
          <w:rFonts w:ascii="Times New Roman" w:hAnsi="Times New Roman"/>
          <w:sz w:val="24"/>
        </w:rPr>
        <w:t>– Alan O. Forst,</w:t>
      </w:r>
      <w:r>
        <w:rPr>
          <w:rFonts w:ascii="Times New Roman" w:hAnsi="Times New Roman"/>
          <w:spacing w:val="-2"/>
          <w:sz w:val="24"/>
        </w:rPr>
        <w:t> </w:t>
      </w:r>
      <w:r>
        <w:rPr>
          <w:rFonts w:ascii="Times New Roman" w:hAnsi="Times New Roman"/>
          <w:sz w:val="24"/>
        </w:rPr>
        <w:t>Secretary/Treasurer</w:t>
      </w:r>
    </w:p>
    <w:p>
      <w:pPr>
        <w:spacing w:line="240" w:lineRule="auto" w:before="8"/>
        <w:rPr>
          <w:sz w:val="27"/>
        </w:rPr>
      </w:pPr>
    </w:p>
    <w:p>
      <w:pPr>
        <w:pStyle w:val="ListParagraph"/>
        <w:numPr>
          <w:ilvl w:val="1"/>
          <w:numId w:val="1"/>
        </w:numPr>
        <w:tabs>
          <w:tab w:pos="2059" w:val="left" w:leader="none"/>
          <w:tab w:pos="2060" w:val="left" w:leader="none"/>
        </w:tabs>
        <w:spacing w:line="240" w:lineRule="auto" w:before="0" w:after="0"/>
        <w:ind w:left="2060" w:right="0" w:hanging="540"/>
        <w:jc w:val="left"/>
        <w:rPr>
          <w:rFonts w:ascii="Times New Roman" w:hAnsi="Times New Roman"/>
          <w:b/>
          <w:sz w:val="24"/>
        </w:rPr>
      </w:pPr>
      <w:r>
        <w:rPr>
          <w:rFonts w:ascii="Times New Roman" w:hAnsi="Times New Roman"/>
          <w:sz w:val="24"/>
        </w:rPr>
        <w:t>Minutes – October 25, 2018 </w:t>
      </w:r>
      <w:r>
        <w:rPr>
          <w:rFonts w:ascii="Times New Roman" w:hAnsi="Times New Roman"/>
          <w:b/>
          <w:sz w:val="24"/>
        </w:rPr>
        <w:t>(Attachment</w:t>
      </w:r>
      <w:r>
        <w:rPr>
          <w:rFonts w:ascii="Times New Roman" w:hAnsi="Times New Roman"/>
          <w:b/>
          <w:spacing w:val="-3"/>
          <w:sz w:val="24"/>
        </w:rPr>
        <w:t> </w:t>
      </w:r>
      <w:r>
        <w:rPr>
          <w:rFonts w:ascii="Times New Roman" w:hAnsi="Times New Roman"/>
          <w:b/>
          <w:sz w:val="24"/>
        </w:rPr>
        <w:t>A)</w:t>
      </w:r>
    </w:p>
    <w:p>
      <w:pPr>
        <w:pStyle w:val="ListParagraph"/>
        <w:numPr>
          <w:ilvl w:val="1"/>
          <w:numId w:val="1"/>
        </w:numPr>
        <w:tabs>
          <w:tab w:pos="2059" w:val="left" w:leader="none"/>
          <w:tab w:pos="2060" w:val="left" w:leader="none"/>
        </w:tabs>
        <w:spacing w:line="240" w:lineRule="auto" w:before="20" w:after="0"/>
        <w:ind w:left="2060" w:right="0" w:hanging="540"/>
        <w:jc w:val="left"/>
        <w:rPr>
          <w:rFonts w:ascii="Times New Roman"/>
          <w:b/>
          <w:sz w:val="24"/>
        </w:rPr>
      </w:pPr>
      <w:r>
        <w:rPr>
          <w:rFonts w:ascii="Times New Roman"/>
          <w:sz w:val="24"/>
        </w:rPr>
        <w:t>November 2018 Financial Statement </w:t>
      </w:r>
      <w:r>
        <w:rPr>
          <w:rFonts w:ascii="Times New Roman"/>
          <w:b/>
          <w:sz w:val="24"/>
        </w:rPr>
        <w:t>(Attachment</w:t>
      </w:r>
      <w:r>
        <w:rPr>
          <w:rFonts w:ascii="Times New Roman"/>
          <w:b/>
          <w:spacing w:val="-1"/>
          <w:sz w:val="24"/>
        </w:rPr>
        <w:t> </w:t>
      </w:r>
      <w:r>
        <w:rPr>
          <w:rFonts w:ascii="Times New Roman"/>
          <w:b/>
          <w:sz w:val="24"/>
        </w:rPr>
        <w:t>B)</w:t>
      </w:r>
    </w:p>
    <w:p>
      <w:pPr>
        <w:spacing w:line="240" w:lineRule="auto" w:before="0"/>
        <w:rPr>
          <w:b/>
          <w:sz w:val="26"/>
        </w:rPr>
      </w:pPr>
    </w:p>
    <w:p>
      <w:pPr>
        <w:spacing w:line="240" w:lineRule="auto" w:before="0"/>
        <w:rPr>
          <w:b/>
          <w:sz w:val="26"/>
        </w:rPr>
      </w:pPr>
    </w:p>
    <w:p>
      <w:pPr>
        <w:spacing w:line="240" w:lineRule="auto" w:before="5"/>
        <w:rPr>
          <w:b/>
          <w:sz w:val="27"/>
        </w:rPr>
      </w:pPr>
    </w:p>
    <w:p>
      <w:pPr>
        <w:pStyle w:val="Heading6"/>
        <w:numPr>
          <w:ilvl w:val="0"/>
          <w:numId w:val="1"/>
        </w:numPr>
        <w:tabs>
          <w:tab w:pos="1505" w:val="left" w:leader="none"/>
          <w:tab w:pos="1506" w:val="left" w:leader="none"/>
        </w:tabs>
        <w:spacing w:line="240" w:lineRule="auto" w:before="1" w:after="0"/>
        <w:ind w:left="1505" w:right="0" w:hanging="721"/>
        <w:jc w:val="left"/>
        <w:rPr>
          <w:rFonts w:ascii="Times New Roman"/>
        </w:rPr>
      </w:pPr>
      <w:bookmarkStart w:name="III. Committee and Subcommittee Reports" w:id="5"/>
      <w:bookmarkEnd w:id="5"/>
      <w:r>
        <w:rPr>
          <w:b w:val="0"/>
        </w:rPr>
      </w:r>
      <w:bookmarkStart w:name="III. Committee and Subcommittee Reports" w:id="6"/>
      <w:bookmarkEnd w:id="6"/>
      <w:r>
        <w:rPr>
          <w:rFonts w:ascii="Times New Roman"/>
        </w:rPr>
        <w:t>C</w:t>
      </w:r>
      <w:r>
        <w:rPr>
          <w:rFonts w:ascii="Times New Roman"/>
        </w:rPr>
        <w:t>ommittee and Subcommittee</w:t>
      </w:r>
      <w:r>
        <w:rPr>
          <w:rFonts w:ascii="Times New Roman"/>
          <w:spacing w:val="-3"/>
        </w:rPr>
        <w:t> </w:t>
      </w:r>
      <w:r>
        <w:rPr>
          <w:rFonts w:ascii="Times New Roman"/>
        </w:rPr>
        <w:t>Reports</w:t>
      </w:r>
    </w:p>
    <w:p>
      <w:pPr>
        <w:spacing w:line="240" w:lineRule="auto" w:before="8"/>
        <w:rPr>
          <w:b/>
          <w:sz w:val="27"/>
        </w:rPr>
      </w:pPr>
    </w:p>
    <w:p>
      <w:pPr>
        <w:pStyle w:val="ListParagraph"/>
        <w:numPr>
          <w:ilvl w:val="1"/>
          <w:numId w:val="1"/>
        </w:numPr>
        <w:tabs>
          <w:tab w:pos="2239" w:val="left" w:leader="none"/>
          <w:tab w:pos="2240" w:val="left" w:leader="none"/>
        </w:tabs>
        <w:spacing w:line="240" w:lineRule="auto" w:before="0" w:after="0"/>
        <w:ind w:left="2240" w:right="0" w:hanging="720"/>
        <w:jc w:val="left"/>
        <w:rPr>
          <w:rFonts w:ascii="Times New Roman"/>
          <w:b/>
          <w:sz w:val="24"/>
        </w:rPr>
      </w:pPr>
      <w:r>
        <w:rPr>
          <w:rFonts w:ascii="Times New Roman"/>
          <w:sz w:val="24"/>
        </w:rPr>
        <w:t>Committees to Report on the Progress of their Goals </w:t>
      </w:r>
      <w:r>
        <w:rPr>
          <w:rFonts w:ascii="Times New Roman"/>
          <w:b/>
          <w:sz w:val="24"/>
        </w:rPr>
        <w:t>(Attachment</w:t>
      </w:r>
      <w:r>
        <w:rPr>
          <w:rFonts w:ascii="Times New Roman"/>
          <w:b/>
          <w:spacing w:val="-10"/>
          <w:sz w:val="24"/>
        </w:rPr>
        <w:t> </w:t>
      </w:r>
      <w:r>
        <w:rPr>
          <w:rFonts w:ascii="Times New Roman"/>
          <w:b/>
          <w:sz w:val="24"/>
        </w:rPr>
        <w:t>C)</w:t>
      </w:r>
    </w:p>
    <w:p>
      <w:pPr>
        <w:pStyle w:val="ListParagraph"/>
        <w:numPr>
          <w:ilvl w:val="1"/>
          <w:numId w:val="1"/>
        </w:numPr>
        <w:tabs>
          <w:tab w:pos="2239" w:val="left" w:leader="none"/>
          <w:tab w:pos="2240" w:val="left" w:leader="none"/>
        </w:tabs>
        <w:spacing w:line="240" w:lineRule="auto" w:before="12" w:after="0"/>
        <w:ind w:left="2240" w:right="0" w:hanging="720"/>
        <w:jc w:val="left"/>
        <w:rPr>
          <w:rFonts w:ascii="Times New Roman" w:hAnsi="Times New Roman"/>
          <w:b/>
          <w:sz w:val="24"/>
        </w:rPr>
      </w:pPr>
      <w:r>
        <w:rPr>
          <w:rFonts w:ascii="Times New Roman" w:hAnsi="Times New Roman"/>
          <w:sz w:val="24"/>
        </w:rPr>
        <w:t>Bar Journal Committee Report – Robert Eschenfelder </w:t>
      </w:r>
      <w:r>
        <w:rPr>
          <w:rFonts w:ascii="Times New Roman" w:hAnsi="Times New Roman"/>
          <w:b/>
          <w:sz w:val="24"/>
        </w:rPr>
        <w:t>(Attachment</w:t>
      </w:r>
      <w:r>
        <w:rPr>
          <w:rFonts w:ascii="Times New Roman" w:hAnsi="Times New Roman"/>
          <w:b/>
          <w:spacing w:val="-7"/>
          <w:sz w:val="24"/>
        </w:rPr>
        <w:t> </w:t>
      </w:r>
      <w:r>
        <w:rPr>
          <w:rFonts w:ascii="Times New Roman" w:hAnsi="Times New Roman"/>
          <w:b/>
          <w:sz w:val="24"/>
        </w:rPr>
        <w:t>D)</w:t>
      </w:r>
    </w:p>
    <w:p>
      <w:pPr>
        <w:pStyle w:val="ListParagraph"/>
        <w:numPr>
          <w:ilvl w:val="1"/>
          <w:numId w:val="1"/>
        </w:numPr>
        <w:tabs>
          <w:tab w:pos="2239" w:val="left" w:leader="none"/>
          <w:tab w:pos="2240" w:val="left" w:leader="none"/>
        </w:tabs>
        <w:spacing w:line="240" w:lineRule="auto" w:before="10" w:after="0"/>
        <w:ind w:left="2240" w:right="0" w:hanging="720"/>
        <w:jc w:val="left"/>
        <w:rPr>
          <w:rFonts w:ascii="Times New Roman"/>
          <w:b/>
          <w:sz w:val="24"/>
        </w:rPr>
      </w:pPr>
      <w:r>
        <w:rPr>
          <w:rFonts w:ascii="Times New Roman"/>
          <w:sz w:val="24"/>
        </w:rPr>
        <w:t>Special Committee on Certification Review Seminar </w:t>
      </w:r>
      <w:r>
        <w:rPr>
          <w:rFonts w:ascii="Times New Roman"/>
          <w:b/>
          <w:sz w:val="24"/>
        </w:rPr>
        <w:t>(Attachment</w:t>
      </w:r>
      <w:r>
        <w:rPr>
          <w:rFonts w:ascii="Times New Roman"/>
          <w:b/>
          <w:spacing w:val="-7"/>
          <w:sz w:val="24"/>
        </w:rPr>
        <w:t> </w:t>
      </w:r>
      <w:r>
        <w:rPr>
          <w:rFonts w:ascii="Times New Roman"/>
          <w:b/>
          <w:sz w:val="24"/>
        </w:rPr>
        <w:t>E)</w:t>
      </w:r>
    </w:p>
    <w:p>
      <w:pPr>
        <w:spacing w:line="240" w:lineRule="auto" w:before="0"/>
        <w:rPr>
          <w:b/>
          <w:sz w:val="26"/>
        </w:rPr>
      </w:pPr>
    </w:p>
    <w:p>
      <w:pPr>
        <w:spacing w:line="240" w:lineRule="auto" w:before="0"/>
        <w:rPr>
          <w:b/>
          <w:sz w:val="26"/>
        </w:rPr>
      </w:pPr>
    </w:p>
    <w:p>
      <w:pPr>
        <w:spacing w:line="240" w:lineRule="auto" w:before="6"/>
        <w:rPr>
          <w:b/>
          <w:sz w:val="27"/>
        </w:rPr>
      </w:pPr>
    </w:p>
    <w:p>
      <w:pPr>
        <w:pStyle w:val="Heading6"/>
        <w:numPr>
          <w:ilvl w:val="0"/>
          <w:numId w:val="1"/>
        </w:numPr>
        <w:tabs>
          <w:tab w:pos="1505" w:val="left" w:leader="none"/>
          <w:tab w:pos="1506" w:val="left" w:leader="none"/>
        </w:tabs>
        <w:spacing w:line="240" w:lineRule="auto" w:before="0" w:after="0"/>
        <w:ind w:left="1505" w:right="0" w:hanging="721"/>
        <w:jc w:val="left"/>
        <w:rPr>
          <w:rFonts w:ascii="Times New Roman"/>
        </w:rPr>
      </w:pPr>
      <w:bookmarkStart w:name="IV. New Business" w:id="7"/>
      <w:bookmarkEnd w:id="7"/>
      <w:r>
        <w:rPr>
          <w:b w:val="0"/>
        </w:rPr>
      </w:r>
      <w:bookmarkStart w:name="IV. New Business" w:id="8"/>
      <w:bookmarkEnd w:id="8"/>
      <w:r>
        <w:rPr>
          <w:rFonts w:ascii="Times New Roman"/>
        </w:rPr>
        <w:t>N</w:t>
      </w:r>
      <w:r>
        <w:rPr>
          <w:rFonts w:ascii="Times New Roman"/>
        </w:rPr>
        <w:t>ew Business</w:t>
      </w:r>
    </w:p>
    <w:p>
      <w:pPr>
        <w:spacing w:line="240" w:lineRule="auto" w:before="9"/>
        <w:rPr>
          <w:b/>
          <w:sz w:val="27"/>
        </w:rPr>
      </w:pPr>
    </w:p>
    <w:p>
      <w:pPr>
        <w:pStyle w:val="ListParagraph"/>
        <w:numPr>
          <w:ilvl w:val="1"/>
          <w:numId w:val="1"/>
        </w:numPr>
        <w:tabs>
          <w:tab w:pos="2239" w:val="left" w:leader="none"/>
          <w:tab w:pos="2240" w:val="left" w:leader="none"/>
        </w:tabs>
        <w:spacing w:line="240" w:lineRule="auto" w:before="0" w:after="0"/>
        <w:ind w:left="2240" w:right="0" w:hanging="720"/>
        <w:jc w:val="left"/>
        <w:rPr>
          <w:rFonts w:ascii="Times New Roman"/>
          <w:sz w:val="24"/>
        </w:rPr>
      </w:pPr>
      <w:r>
        <w:rPr>
          <w:rFonts w:ascii="Times New Roman"/>
          <w:sz w:val="24"/>
        </w:rPr>
        <w:t>Leadership Meeting at Wyndham Grand Jupiter at Harbourside</w:t>
      </w:r>
      <w:r>
        <w:rPr>
          <w:rFonts w:ascii="Times New Roman"/>
          <w:spacing w:val="-7"/>
          <w:sz w:val="24"/>
        </w:rPr>
        <w:t> </w:t>
      </w:r>
      <w:r>
        <w:rPr>
          <w:rFonts w:ascii="Times New Roman"/>
          <w:sz w:val="24"/>
        </w:rPr>
        <w:t>Place</w:t>
      </w:r>
    </w:p>
    <w:p>
      <w:pPr>
        <w:pStyle w:val="ListParagraph"/>
        <w:numPr>
          <w:ilvl w:val="1"/>
          <w:numId w:val="1"/>
        </w:numPr>
        <w:tabs>
          <w:tab w:pos="2239" w:val="left" w:leader="none"/>
          <w:tab w:pos="2240" w:val="left" w:leader="none"/>
        </w:tabs>
        <w:spacing w:line="240" w:lineRule="auto" w:before="21" w:after="0"/>
        <w:ind w:left="2240" w:right="0" w:hanging="720"/>
        <w:jc w:val="left"/>
        <w:rPr>
          <w:rFonts w:ascii="Times New Roman"/>
          <w:b/>
          <w:sz w:val="24"/>
        </w:rPr>
      </w:pPr>
      <w:r>
        <w:rPr>
          <w:rFonts w:ascii="Times New Roman"/>
          <w:sz w:val="24"/>
        </w:rPr>
        <w:t>Hall of Fame Nomination of Margie Cooper of Jones Foster </w:t>
      </w:r>
      <w:r>
        <w:rPr>
          <w:rFonts w:ascii="Times New Roman"/>
          <w:b/>
          <w:sz w:val="24"/>
        </w:rPr>
        <w:t>(Attachment</w:t>
      </w:r>
      <w:r>
        <w:rPr>
          <w:rFonts w:ascii="Times New Roman"/>
          <w:b/>
          <w:spacing w:val="-8"/>
          <w:sz w:val="24"/>
        </w:rPr>
        <w:t> </w:t>
      </w:r>
      <w:r>
        <w:rPr>
          <w:rFonts w:ascii="Times New Roman"/>
          <w:b/>
          <w:sz w:val="24"/>
        </w:rPr>
        <w:t>F)</w:t>
      </w:r>
    </w:p>
    <w:p>
      <w:pPr>
        <w:pStyle w:val="ListParagraph"/>
        <w:numPr>
          <w:ilvl w:val="1"/>
          <w:numId w:val="1"/>
        </w:numPr>
        <w:tabs>
          <w:tab w:pos="2239" w:val="left" w:leader="none"/>
          <w:tab w:pos="2240" w:val="left" w:leader="none"/>
        </w:tabs>
        <w:spacing w:line="240" w:lineRule="auto" w:before="22" w:after="0"/>
        <w:ind w:left="2240" w:right="0" w:hanging="720"/>
        <w:jc w:val="left"/>
        <w:rPr>
          <w:rFonts w:ascii="Times New Roman"/>
          <w:b/>
          <w:sz w:val="24"/>
        </w:rPr>
      </w:pPr>
      <w:r>
        <w:rPr>
          <w:rFonts w:ascii="Times New Roman"/>
          <w:sz w:val="24"/>
        </w:rPr>
        <w:t>Section Bulletin Board </w:t>
      </w:r>
      <w:r>
        <w:rPr>
          <w:rFonts w:ascii="Times New Roman"/>
          <w:b/>
          <w:sz w:val="24"/>
        </w:rPr>
        <w:t>(Attachment</w:t>
      </w:r>
      <w:r>
        <w:rPr>
          <w:rFonts w:ascii="Times New Roman"/>
          <w:b/>
          <w:spacing w:val="-2"/>
          <w:sz w:val="24"/>
        </w:rPr>
        <w:t> </w:t>
      </w:r>
      <w:r>
        <w:rPr>
          <w:rFonts w:ascii="Times New Roman"/>
          <w:b/>
          <w:sz w:val="24"/>
        </w:rPr>
        <w:t>G)</w:t>
      </w:r>
    </w:p>
    <w:p>
      <w:pPr>
        <w:spacing w:after="0" w:line="240" w:lineRule="auto"/>
        <w:jc w:val="left"/>
        <w:rPr>
          <w:rFonts w:ascii="Times New Roman"/>
          <w:sz w:val="24"/>
        </w:rPr>
        <w:sectPr>
          <w:footerReference w:type="default" r:id="rId7"/>
          <w:pgSz w:w="12240" w:h="15840"/>
          <w:pgMar w:footer="379" w:header="0" w:top="680" w:bottom="560" w:left="280" w:right="380"/>
        </w:sectPr>
      </w:pPr>
    </w:p>
    <w:p>
      <w:pPr>
        <w:pStyle w:val="ListParagraph"/>
        <w:numPr>
          <w:ilvl w:val="1"/>
          <w:numId w:val="1"/>
        </w:numPr>
        <w:tabs>
          <w:tab w:pos="2239" w:val="left" w:leader="none"/>
          <w:tab w:pos="2240" w:val="left" w:leader="none"/>
        </w:tabs>
        <w:spacing w:line="259" w:lineRule="auto" w:before="80" w:after="0"/>
        <w:ind w:left="2240" w:right="1631" w:hanging="720"/>
        <w:jc w:val="left"/>
        <w:rPr>
          <w:rFonts w:ascii="Times New Roman"/>
          <w:b/>
          <w:sz w:val="24"/>
        </w:rPr>
      </w:pPr>
      <w:r>
        <w:rPr>
          <w:rFonts w:ascii="Times New Roman"/>
          <w:sz w:val="24"/>
        </w:rPr>
        <w:t>Updated - 19</w:t>
      </w:r>
      <w:r>
        <w:rPr>
          <w:rFonts w:ascii="Times New Roman"/>
          <w:position w:val="9"/>
          <w:sz w:val="16"/>
        </w:rPr>
        <w:t>th </w:t>
      </w:r>
      <w:r>
        <w:rPr>
          <w:rFonts w:ascii="Times New Roman"/>
          <w:sz w:val="24"/>
        </w:rPr>
        <w:t>Labor and Employment Annual Update and Certification Review Brochure </w:t>
      </w:r>
      <w:r>
        <w:rPr>
          <w:rFonts w:ascii="Times New Roman"/>
          <w:b/>
          <w:sz w:val="24"/>
        </w:rPr>
        <w:t>(Attachment</w:t>
      </w:r>
      <w:r>
        <w:rPr>
          <w:rFonts w:ascii="Times New Roman"/>
          <w:b/>
          <w:spacing w:val="-1"/>
          <w:sz w:val="24"/>
        </w:rPr>
        <w:t> </w:t>
      </w:r>
      <w:r>
        <w:rPr>
          <w:rFonts w:ascii="Times New Roman"/>
          <w:b/>
          <w:sz w:val="24"/>
        </w:rPr>
        <w:t>H)</w:t>
      </w:r>
    </w:p>
    <w:p>
      <w:pPr>
        <w:pStyle w:val="ListParagraph"/>
        <w:numPr>
          <w:ilvl w:val="1"/>
          <w:numId w:val="1"/>
        </w:numPr>
        <w:tabs>
          <w:tab w:pos="2239" w:val="left" w:leader="none"/>
          <w:tab w:pos="2240" w:val="left" w:leader="none"/>
        </w:tabs>
        <w:spacing w:line="275" w:lineRule="exact" w:before="0" w:after="0"/>
        <w:ind w:left="2240" w:right="0" w:hanging="720"/>
        <w:jc w:val="left"/>
        <w:rPr>
          <w:rFonts w:ascii="Times New Roman"/>
          <w:b/>
          <w:sz w:val="24"/>
        </w:rPr>
      </w:pPr>
      <w:r>
        <w:rPr>
          <w:rFonts w:ascii="Times New Roman"/>
          <w:sz w:val="24"/>
        </w:rPr>
        <w:t>Updated - 2018-2019 Labor Audio Webcast Brochure </w:t>
      </w:r>
      <w:r>
        <w:rPr>
          <w:rFonts w:ascii="Times New Roman"/>
          <w:b/>
          <w:sz w:val="24"/>
        </w:rPr>
        <w:t>(Attachment</w:t>
      </w:r>
      <w:r>
        <w:rPr>
          <w:rFonts w:ascii="Times New Roman"/>
          <w:b/>
          <w:spacing w:val="-2"/>
          <w:sz w:val="24"/>
        </w:rPr>
        <w:t> </w:t>
      </w:r>
      <w:r>
        <w:rPr>
          <w:rFonts w:ascii="Times New Roman"/>
          <w:b/>
          <w:sz w:val="24"/>
        </w:rPr>
        <w:t>I)</w:t>
      </w:r>
    </w:p>
    <w:p>
      <w:pPr>
        <w:pStyle w:val="ListParagraph"/>
        <w:numPr>
          <w:ilvl w:val="1"/>
          <w:numId w:val="1"/>
        </w:numPr>
        <w:tabs>
          <w:tab w:pos="2239" w:val="left" w:leader="none"/>
          <w:tab w:pos="2240" w:val="left" w:leader="none"/>
        </w:tabs>
        <w:spacing w:line="240" w:lineRule="auto" w:before="21" w:after="0"/>
        <w:ind w:left="2240" w:right="0" w:hanging="720"/>
        <w:jc w:val="left"/>
        <w:rPr>
          <w:rFonts w:ascii="Times New Roman" w:hAnsi="Times New Roman"/>
          <w:b/>
          <w:sz w:val="24"/>
        </w:rPr>
      </w:pPr>
      <w:r>
        <w:rPr>
          <w:rFonts w:ascii="Times New Roman" w:hAnsi="Times New Roman"/>
          <w:sz w:val="24"/>
        </w:rPr>
        <w:t>Reception in Chair’s Suite – Suite No. &amp; Directions </w:t>
      </w:r>
      <w:r>
        <w:rPr>
          <w:rFonts w:ascii="Times New Roman" w:hAnsi="Times New Roman"/>
          <w:b/>
          <w:sz w:val="24"/>
        </w:rPr>
        <w:t>(Attachment</w:t>
      </w:r>
      <w:r>
        <w:rPr>
          <w:rFonts w:ascii="Times New Roman" w:hAnsi="Times New Roman"/>
          <w:b/>
          <w:spacing w:val="-8"/>
          <w:sz w:val="24"/>
        </w:rPr>
        <w:t> </w:t>
      </w:r>
      <w:r>
        <w:rPr>
          <w:rFonts w:ascii="Times New Roman" w:hAnsi="Times New Roman"/>
          <w:b/>
          <w:sz w:val="24"/>
        </w:rPr>
        <w:t>J)</w:t>
      </w:r>
    </w:p>
    <w:p>
      <w:pPr>
        <w:pStyle w:val="ListParagraph"/>
        <w:numPr>
          <w:ilvl w:val="1"/>
          <w:numId w:val="1"/>
        </w:numPr>
        <w:tabs>
          <w:tab w:pos="2239" w:val="left" w:leader="none"/>
          <w:tab w:pos="2240" w:val="left" w:leader="none"/>
        </w:tabs>
        <w:spacing w:line="240" w:lineRule="auto" w:before="22" w:after="0"/>
        <w:ind w:left="2240" w:right="0" w:hanging="720"/>
        <w:jc w:val="left"/>
        <w:rPr>
          <w:rFonts w:ascii="Times New Roman"/>
          <w:b/>
          <w:sz w:val="24"/>
        </w:rPr>
      </w:pPr>
      <w:r>
        <w:rPr>
          <w:rFonts w:ascii="Times New Roman"/>
          <w:sz w:val="24"/>
        </w:rPr>
        <w:t>Winter Meeting 2019 Map </w:t>
      </w:r>
      <w:r>
        <w:rPr>
          <w:rFonts w:ascii="Times New Roman"/>
          <w:b/>
          <w:sz w:val="24"/>
        </w:rPr>
        <w:t>(Attachment</w:t>
      </w:r>
      <w:r>
        <w:rPr>
          <w:rFonts w:ascii="Times New Roman"/>
          <w:b/>
          <w:spacing w:val="-4"/>
          <w:sz w:val="24"/>
        </w:rPr>
        <w:t> </w:t>
      </w:r>
      <w:r>
        <w:rPr>
          <w:rFonts w:ascii="Times New Roman"/>
          <w:b/>
          <w:sz w:val="24"/>
        </w:rPr>
        <w:t>K)</w:t>
      </w:r>
    </w:p>
    <w:p>
      <w:pPr>
        <w:spacing w:line="240" w:lineRule="auto" w:before="0"/>
        <w:rPr>
          <w:b/>
          <w:sz w:val="26"/>
        </w:rPr>
      </w:pPr>
    </w:p>
    <w:p>
      <w:pPr>
        <w:spacing w:line="240" w:lineRule="auto" w:before="0"/>
        <w:rPr>
          <w:b/>
          <w:sz w:val="26"/>
        </w:rPr>
      </w:pPr>
    </w:p>
    <w:p>
      <w:pPr>
        <w:spacing w:line="240" w:lineRule="auto" w:before="8"/>
        <w:rPr>
          <w:b/>
          <w:sz w:val="27"/>
        </w:rPr>
      </w:pPr>
    </w:p>
    <w:p>
      <w:pPr>
        <w:pStyle w:val="Heading6"/>
        <w:numPr>
          <w:ilvl w:val="0"/>
          <w:numId w:val="1"/>
        </w:numPr>
        <w:tabs>
          <w:tab w:pos="1505" w:val="left" w:leader="none"/>
          <w:tab w:pos="1506" w:val="left" w:leader="none"/>
        </w:tabs>
        <w:spacing w:line="516" w:lineRule="auto" w:before="0" w:after="0"/>
        <w:ind w:left="800" w:right="7902" w:hanging="15"/>
        <w:jc w:val="left"/>
        <w:rPr>
          <w:rFonts w:ascii="Times New Roman"/>
        </w:rPr>
      </w:pPr>
      <w:bookmarkStart w:name="V. Informational" w:id="9"/>
      <w:bookmarkEnd w:id="9"/>
      <w:r>
        <w:rPr>
          <w:b w:val="0"/>
        </w:rPr>
      </w:r>
      <w:bookmarkStart w:name="V. Informational" w:id="10"/>
      <w:bookmarkEnd w:id="10"/>
      <w:r>
        <w:rPr>
          <w:rFonts w:ascii="Times New Roman"/>
        </w:rPr>
        <w:t>I</w:t>
      </w:r>
      <w:r>
        <w:rPr>
          <w:rFonts w:ascii="Times New Roman"/>
        </w:rPr>
        <w:t>nformational</w:t>
      </w:r>
      <w:r>
        <w:rPr>
          <w:rFonts w:ascii="Times New Roman"/>
          <w:u w:val="thick"/>
        </w:rPr>
        <w:t> Thursday, January 17,</w:t>
      </w:r>
      <w:r>
        <w:rPr>
          <w:rFonts w:ascii="Times New Roman"/>
          <w:spacing w:val="-4"/>
          <w:u w:val="thick"/>
        </w:rPr>
        <w:t> </w:t>
      </w:r>
      <w:r>
        <w:rPr>
          <w:rFonts w:ascii="Times New Roman"/>
          <w:spacing w:val="-3"/>
          <w:u w:val="thick"/>
        </w:rPr>
        <w:t>2019</w:t>
      </w:r>
    </w:p>
    <w:p>
      <w:pPr>
        <w:pStyle w:val="BodyText"/>
        <w:tabs>
          <w:tab w:pos="3679" w:val="left" w:leader="none"/>
        </w:tabs>
        <w:spacing w:line="273" w:lineRule="exact"/>
        <w:ind w:left="800"/>
        <w:rPr>
          <w:rFonts w:ascii="Times New Roman" w:hAnsi="Times New Roman"/>
        </w:rPr>
      </w:pPr>
      <w:r>
        <w:rPr>
          <w:rFonts w:ascii="Times New Roman" w:hAnsi="Times New Roman"/>
        </w:rPr>
        <w:t>8:10 a.m. –</w:t>
      </w:r>
      <w:r>
        <w:rPr>
          <w:rFonts w:ascii="Times New Roman" w:hAnsi="Times New Roman"/>
          <w:spacing w:val="-1"/>
        </w:rPr>
        <w:t> </w:t>
      </w:r>
      <w:r>
        <w:rPr>
          <w:rFonts w:ascii="Times New Roman" w:hAnsi="Times New Roman"/>
        </w:rPr>
        <w:t>4:45 p.m.</w:t>
        <w:tab/>
        <w:t>19</w:t>
      </w:r>
      <w:r>
        <w:rPr>
          <w:rFonts w:ascii="Times New Roman" w:hAnsi="Times New Roman"/>
          <w:position w:val="9"/>
          <w:sz w:val="16"/>
        </w:rPr>
        <w:t>th </w:t>
      </w:r>
      <w:r>
        <w:rPr>
          <w:rFonts w:ascii="Times New Roman" w:hAnsi="Times New Roman"/>
        </w:rPr>
        <w:t>Update and Certification Review (Majestic</w:t>
      </w:r>
      <w:r>
        <w:rPr>
          <w:rFonts w:ascii="Times New Roman" w:hAnsi="Times New Roman"/>
          <w:spacing w:val="-23"/>
        </w:rPr>
        <w:t> </w:t>
      </w:r>
      <w:r>
        <w:rPr>
          <w:rFonts w:ascii="Times New Roman" w:hAnsi="Times New Roman"/>
        </w:rPr>
        <w:t>1)</w:t>
      </w:r>
    </w:p>
    <w:p>
      <w:pPr>
        <w:pStyle w:val="BodyText"/>
        <w:tabs>
          <w:tab w:pos="3679" w:val="left" w:leader="none"/>
        </w:tabs>
        <w:spacing w:before="19"/>
        <w:ind w:left="800"/>
        <w:rPr>
          <w:rFonts w:ascii="Times New Roman" w:hAnsi="Times New Roman"/>
        </w:rPr>
      </w:pPr>
      <w:r>
        <w:rPr>
          <w:rFonts w:ascii="Times New Roman" w:hAnsi="Times New Roman"/>
        </w:rPr>
        <w:t>11:40 a.m. –</w:t>
      </w:r>
      <w:r>
        <w:rPr>
          <w:rFonts w:ascii="Times New Roman" w:hAnsi="Times New Roman"/>
          <w:spacing w:val="-1"/>
        </w:rPr>
        <w:t> </w:t>
      </w:r>
      <w:r>
        <w:rPr>
          <w:rFonts w:ascii="Times New Roman" w:hAnsi="Times New Roman"/>
        </w:rPr>
        <w:t>12:40 p.m.</w:t>
        <w:tab/>
        <w:t>2882 Lunch (Majestic</w:t>
      </w:r>
      <w:r>
        <w:rPr>
          <w:rFonts w:ascii="Times New Roman" w:hAnsi="Times New Roman"/>
          <w:spacing w:val="1"/>
        </w:rPr>
        <w:t> </w:t>
      </w:r>
      <w:r>
        <w:rPr>
          <w:rFonts w:ascii="Times New Roman" w:hAnsi="Times New Roman"/>
        </w:rPr>
        <w:t>2)</w:t>
      </w:r>
    </w:p>
    <w:p>
      <w:pPr>
        <w:pStyle w:val="BodyText"/>
        <w:tabs>
          <w:tab w:pos="3679" w:val="left" w:leader="none"/>
        </w:tabs>
        <w:spacing w:line="256" w:lineRule="auto" w:before="22"/>
        <w:ind w:left="800" w:right="4966"/>
        <w:rPr>
          <w:rFonts w:ascii="Times New Roman" w:hAnsi="Times New Roman"/>
        </w:rPr>
      </w:pPr>
      <w:r>
        <w:rPr>
          <w:rFonts w:ascii="Times New Roman" w:hAnsi="Times New Roman"/>
        </w:rPr>
        <w:t>5:00 p.m. – 6:00 p.m.</w:t>
        <w:tab/>
        <w:t>Labor EC Meeting (Harbor A) 6:00 p.m. –</w:t>
      </w:r>
      <w:r>
        <w:rPr>
          <w:rFonts w:ascii="Times New Roman" w:hAnsi="Times New Roman"/>
          <w:spacing w:val="-1"/>
        </w:rPr>
        <w:t> </w:t>
      </w:r>
      <w:r>
        <w:rPr>
          <w:rFonts w:ascii="Times New Roman" w:hAnsi="Times New Roman"/>
        </w:rPr>
        <w:t>7:00 p.m.</w:t>
        <w:tab/>
        <w:t>Reception (Majestic</w:t>
      </w:r>
      <w:r>
        <w:rPr>
          <w:rFonts w:ascii="Times New Roman" w:hAnsi="Times New Roman"/>
          <w:spacing w:val="-1"/>
        </w:rPr>
        <w:t> </w:t>
      </w:r>
      <w:r>
        <w:rPr>
          <w:rFonts w:ascii="Times New Roman" w:hAnsi="Times New Roman"/>
        </w:rPr>
        <w:t>2)</w:t>
      </w:r>
    </w:p>
    <w:p>
      <w:pPr>
        <w:pStyle w:val="BodyText"/>
        <w:tabs>
          <w:tab w:pos="3679" w:val="left" w:leader="none"/>
        </w:tabs>
        <w:ind w:left="800"/>
        <w:rPr>
          <w:rFonts w:ascii="Times New Roman" w:hAnsi="Times New Roman"/>
        </w:rPr>
      </w:pPr>
      <w:r>
        <w:rPr>
          <w:rFonts w:ascii="Times New Roman" w:hAnsi="Times New Roman"/>
        </w:rPr>
        <w:t>7:00 p.m. – 8:30 p.m.</w:t>
        <w:tab/>
        <w:t>Dessert Reception in Chair’s</w:t>
      </w:r>
      <w:r>
        <w:rPr>
          <w:rFonts w:ascii="Times New Roman" w:hAnsi="Times New Roman"/>
          <w:spacing w:val="-1"/>
        </w:rPr>
        <w:t> </w:t>
      </w:r>
      <w:r>
        <w:rPr>
          <w:rFonts w:ascii="Times New Roman" w:hAnsi="Times New Roman"/>
        </w:rPr>
        <w:t>Suite</w:t>
      </w:r>
    </w:p>
    <w:p>
      <w:pPr>
        <w:spacing w:line="240" w:lineRule="auto" w:before="3"/>
        <w:rPr>
          <w:sz w:val="27"/>
        </w:rPr>
      </w:pPr>
    </w:p>
    <w:p>
      <w:pPr>
        <w:spacing w:before="0"/>
        <w:ind w:left="800" w:right="0" w:firstLine="0"/>
        <w:jc w:val="left"/>
        <w:rPr>
          <w:b/>
          <w:sz w:val="24"/>
        </w:rPr>
      </w:pPr>
      <w:r>
        <w:rPr>
          <w:b/>
          <w:sz w:val="24"/>
          <w:u w:val="thick"/>
        </w:rPr>
        <w:t>Friday, January 18, 2019</w:t>
      </w:r>
    </w:p>
    <w:p>
      <w:pPr>
        <w:spacing w:line="240" w:lineRule="auto" w:before="9"/>
        <w:rPr>
          <w:b/>
          <w:sz w:val="17"/>
        </w:rPr>
      </w:pPr>
    </w:p>
    <w:p>
      <w:pPr>
        <w:pStyle w:val="BodyText"/>
        <w:tabs>
          <w:tab w:pos="3679" w:val="left" w:leader="none"/>
        </w:tabs>
        <w:spacing w:line="256" w:lineRule="auto" w:before="95"/>
        <w:ind w:left="800" w:right="3082"/>
        <w:rPr>
          <w:rFonts w:ascii="Times New Roman" w:hAnsi="Times New Roman"/>
        </w:rPr>
      </w:pPr>
      <w:r>
        <w:rPr>
          <w:rFonts w:ascii="Times New Roman" w:hAnsi="Times New Roman"/>
        </w:rPr>
        <w:t>8:00 a.m. –</w:t>
      </w:r>
      <w:r>
        <w:rPr>
          <w:rFonts w:ascii="Times New Roman" w:hAnsi="Times New Roman"/>
          <w:spacing w:val="-1"/>
        </w:rPr>
        <w:t> </w:t>
      </w:r>
      <w:r>
        <w:rPr>
          <w:rFonts w:ascii="Times New Roman" w:hAnsi="Times New Roman"/>
        </w:rPr>
        <w:t>4:30 p.m.</w:t>
        <w:tab/>
        <w:t>19</w:t>
      </w:r>
      <w:r>
        <w:rPr>
          <w:rFonts w:ascii="Times New Roman" w:hAnsi="Times New Roman"/>
          <w:position w:val="9"/>
          <w:sz w:val="16"/>
        </w:rPr>
        <w:t>th </w:t>
      </w:r>
      <w:r>
        <w:rPr>
          <w:rFonts w:ascii="Times New Roman" w:hAnsi="Times New Roman"/>
        </w:rPr>
        <w:t>Update and Certification Review (Majestic 1) 12:05 a.m. –</w:t>
      </w:r>
      <w:r>
        <w:rPr>
          <w:rFonts w:ascii="Times New Roman" w:hAnsi="Times New Roman"/>
          <w:spacing w:val="-1"/>
        </w:rPr>
        <w:t> </w:t>
      </w:r>
      <w:r>
        <w:rPr>
          <w:rFonts w:ascii="Times New Roman" w:hAnsi="Times New Roman"/>
        </w:rPr>
        <w:t>1:35 p.m.</w:t>
        <w:tab/>
        <w:t>2882 Lunch (Majestic 2)</w:t>
      </w:r>
    </w:p>
    <w:p>
      <w:pPr>
        <w:spacing w:line="240" w:lineRule="auto" w:before="0"/>
        <w:rPr>
          <w:sz w:val="26"/>
        </w:rPr>
      </w:pPr>
    </w:p>
    <w:p>
      <w:pPr>
        <w:spacing w:line="240" w:lineRule="auto" w:before="0"/>
        <w:rPr>
          <w:sz w:val="26"/>
        </w:rPr>
      </w:pPr>
    </w:p>
    <w:p>
      <w:pPr>
        <w:spacing w:line="240" w:lineRule="auto" w:before="0"/>
        <w:rPr>
          <w:sz w:val="25"/>
        </w:rPr>
      </w:pPr>
    </w:p>
    <w:p>
      <w:pPr>
        <w:pStyle w:val="Heading6"/>
        <w:numPr>
          <w:ilvl w:val="0"/>
          <w:numId w:val="1"/>
        </w:numPr>
        <w:tabs>
          <w:tab w:pos="1505" w:val="left" w:leader="none"/>
          <w:tab w:pos="1506" w:val="left" w:leader="none"/>
        </w:tabs>
        <w:spacing w:line="240" w:lineRule="auto" w:before="0" w:after="0"/>
        <w:ind w:left="1505" w:right="0" w:hanging="721"/>
        <w:jc w:val="left"/>
        <w:rPr>
          <w:rFonts w:ascii="Times New Roman"/>
        </w:rPr>
      </w:pPr>
      <w:bookmarkStart w:name="VI. Next Executive Council / Leadership " w:id="11"/>
      <w:bookmarkEnd w:id="11"/>
      <w:r>
        <w:rPr>
          <w:b w:val="0"/>
        </w:rPr>
      </w:r>
      <w:bookmarkStart w:name="VI. Next Executive Council / Leadership " w:id="12"/>
      <w:bookmarkEnd w:id="12"/>
      <w:r>
        <w:rPr>
          <w:rFonts w:ascii="Times New Roman"/>
        </w:rPr>
        <w:t>N</w:t>
      </w:r>
      <w:r>
        <w:rPr>
          <w:rFonts w:ascii="Times New Roman"/>
        </w:rPr>
        <w:t>ext Executive Council / Leadership</w:t>
      </w:r>
      <w:r>
        <w:rPr>
          <w:rFonts w:ascii="Times New Roman"/>
          <w:spacing w:val="-3"/>
        </w:rPr>
        <w:t> </w:t>
      </w:r>
      <w:r>
        <w:rPr>
          <w:rFonts w:ascii="Times New Roman"/>
        </w:rPr>
        <w:t>Meeting</w:t>
      </w:r>
    </w:p>
    <w:p>
      <w:pPr>
        <w:spacing w:line="240" w:lineRule="auto" w:before="8"/>
        <w:rPr>
          <w:b/>
          <w:sz w:val="27"/>
        </w:rPr>
      </w:pPr>
    </w:p>
    <w:p>
      <w:pPr>
        <w:pStyle w:val="ListParagraph"/>
        <w:numPr>
          <w:ilvl w:val="1"/>
          <w:numId w:val="1"/>
        </w:numPr>
        <w:tabs>
          <w:tab w:pos="2331" w:val="left" w:leader="none"/>
          <w:tab w:pos="2332" w:val="left" w:leader="none"/>
        </w:tabs>
        <w:spacing w:line="240" w:lineRule="auto" w:before="1" w:after="0"/>
        <w:ind w:left="2331" w:right="0" w:hanging="812"/>
        <w:jc w:val="left"/>
        <w:rPr>
          <w:rFonts w:ascii="Times New Roman"/>
          <w:b/>
          <w:sz w:val="24"/>
        </w:rPr>
      </w:pPr>
      <w:r>
        <w:rPr>
          <w:rFonts w:ascii="Times New Roman"/>
          <w:b/>
          <w:sz w:val="24"/>
        </w:rPr>
        <w:t>Saturday, April 13,</w:t>
      </w:r>
      <w:r>
        <w:rPr>
          <w:rFonts w:ascii="Times New Roman"/>
          <w:b/>
          <w:spacing w:val="-1"/>
          <w:sz w:val="24"/>
        </w:rPr>
        <w:t> </w:t>
      </w:r>
      <w:r>
        <w:rPr>
          <w:rFonts w:ascii="Times New Roman"/>
          <w:b/>
          <w:sz w:val="24"/>
        </w:rPr>
        <w:t>2019</w:t>
      </w:r>
    </w:p>
    <w:p>
      <w:pPr>
        <w:pStyle w:val="BodyText"/>
        <w:spacing w:line="247" w:lineRule="auto" w:before="9"/>
        <w:ind w:left="2331" w:right="4797"/>
        <w:rPr>
          <w:rFonts w:ascii="Times New Roman"/>
        </w:rPr>
      </w:pPr>
      <w:r>
        <w:rPr>
          <w:rFonts w:ascii="Times New Roman"/>
        </w:rPr>
        <w:t>Wyndham Grand Jupiter at Harbourside Place 122 Soundings Avenue, Jupiter, FL 33477</w:t>
      </w:r>
    </w:p>
    <w:p>
      <w:pPr>
        <w:pStyle w:val="BodyText"/>
        <w:spacing w:before="5"/>
        <w:ind w:left="2331"/>
        <w:rPr>
          <w:rFonts w:ascii="Times New Roman"/>
        </w:rPr>
      </w:pPr>
      <w:r>
        <w:rPr>
          <w:rFonts w:ascii="Times New Roman"/>
        </w:rPr>
        <w:t>(561) 273-6600</w:t>
      </w:r>
    </w:p>
    <w:p>
      <w:pPr>
        <w:spacing w:line="240" w:lineRule="auto" w:before="0"/>
        <w:rPr>
          <w:sz w:val="26"/>
        </w:rPr>
      </w:pPr>
    </w:p>
    <w:p>
      <w:pPr>
        <w:spacing w:line="240" w:lineRule="auto" w:before="0"/>
        <w:rPr>
          <w:sz w:val="26"/>
        </w:rPr>
      </w:pPr>
    </w:p>
    <w:p>
      <w:pPr>
        <w:spacing w:line="240" w:lineRule="auto" w:before="5"/>
        <w:rPr>
          <w:sz w:val="24"/>
        </w:rPr>
      </w:pPr>
    </w:p>
    <w:p>
      <w:pPr>
        <w:pStyle w:val="Heading6"/>
        <w:numPr>
          <w:ilvl w:val="0"/>
          <w:numId w:val="1"/>
        </w:numPr>
        <w:tabs>
          <w:tab w:pos="1505" w:val="left" w:leader="none"/>
          <w:tab w:pos="1506" w:val="left" w:leader="none"/>
        </w:tabs>
        <w:spacing w:line="240" w:lineRule="auto" w:before="0" w:after="0"/>
        <w:ind w:left="1505" w:right="0" w:hanging="721"/>
        <w:jc w:val="left"/>
        <w:rPr>
          <w:rFonts w:ascii="Times New Roman"/>
        </w:rPr>
      </w:pPr>
      <w:bookmarkStart w:name="VII. Adjournment" w:id="13"/>
      <w:bookmarkEnd w:id="13"/>
      <w:r>
        <w:rPr>
          <w:b w:val="0"/>
        </w:rPr>
      </w:r>
      <w:bookmarkStart w:name="VII. Adjournment" w:id="14"/>
      <w:bookmarkEnd w:id="14"/>
      <w:r>
        <w:rPr>
          <w:rFonts w:ascii="Times New Roman"/>
        </w:rPr>
        <w:t>A</w:t>
      </w:r>
      <w:r>
        <w:rPr>
          <w:rFonts w:ascii="Times New Roman"/>
        </w:rPr>
        <w:t>djournment</w:t>
      </w:r>
    </w:p>
    <w:p>
      <w:pPr>
        <w:spacing w:after="0" w:line="240" w:lineRule="auto"/>
        <w:jc w:val="left"/>
        <w:rPr>
          <w:rFonts w:ascii="Times New Roman"/>
        </w:rPr>
        <w:sectPr>
          <w:pgSz w:w="12240" w:h="15840"/>
          <w:pgMar w:header="0" w:footer="379" w:top="480" w:bottom="560" w:left="280" w:right="380"/>
        </w:sectPr>
      </w:pPr>
    </w:p>
    <w:p>
      <w:pPr>
        <w:spacing w:before="77"/>
        <w:ind w:left="1588" w:right="1491" w:firstLine="0"/>
        <w:jc w:val="center"/>
        <w:rPr>
          <w:rFonts w:ascii="Cambria"/>
          <w:b/>
          <w:sz w:val="24"/>
        </w:rPr>
      </w:pPr>
      <w:bookmarkStart w:name="3 - Exhibit A - October 25, 2018 Minutes" w:id="15"/>
      <w:bookmarkEnd w:id="15"/>
      <w:r>
        <w:rPr/>
      </w:r>
      <w:r>
        <w:rPr>
          <w:rFonts w:ascii="Cambria"/>
          <w:b/>
          <w:w w:val="115"/>
          <w:sz w:val="24"/>
        </w:rPr>
        <w:t>MINUTES</w:t>
      </w:r>
    </w:p>
    <w:p>
      <w:pPr>
        <w:pStyle w:val="BodyText"/>
        <w:spacing w:before="1"/>
        <w:rPr>
          <w:b/>
        </w:rPr>
      </w:pPr>
    </w:p>
    <w:p>
      <w:pPr>
        <w:spacing w:before="1"/>
        <w:ind w:left="2724" w:right="2624" w:firstLine="2"/>
        <w:jc w:val="center"/>
        <w:rPr>
          <w:rFonts w:ascii="Cambria"/>
          <w:sz w:val="24"/>
        </w:rPr>
      </w:pPr>
      <w:r>
        <w:rPr>
          <w:rFonts w:ascii="Cambria"/>
          <w:b/>
          <w:w w:val="115"/>
          <w:sz w:val="24"/>
        </w:rPr>
        <w:t>October 25, 2018 Executive Council Meeting </w:t>
      </w:r>
      <w:r>
        <w:rPr>
          <w:rFonts w:ascii="Cambria"/>
          <w:w w:val="115"/>
          <w:sz w:val="24"/>
        </w:rPr>
        <w:t>Labor and Employment Law Section, The Florida Bar Rosen Shingle Creek, Orlando, FL</w:t>
      </w:r>
    </w:p>
    <w:p>
      <w:pPr>
        <w:pStyle w:val="BodyText"/>
        <w:spacing w:before="11"/>
        <w:rPr>
          <w:sz w:val="23"/>
        </w:rPr>
      </w:pPr>
    </w:p>
    <w:p>
      <w:pPr>
        <w:pStyle w:val="BodyText"/>
        <w:ind w:left="1520" w:right="6956"/>
      </w:pPr>
      <w:r>
        <w:rPr>
          <w:w w:val="115"/>
        </w:rPr>
        <w:t>Cathleen Scott, Chair David Adams, Chair-Elect</w:t>
      </w:r>
    </w:p>
    <w:p>
      <w:pPr>
        <w:pStyle w:val="BodyText"/>
        <w:spacing w:before="1"/>
        <w:ind w:left="1520" w:right="4966"/>
      </w:pPr>
      <w:r>
        <w:rPr>
          <w:w w:val="115"/>
        </w:rPr>
        <w:t>Robyn Hankins, Legal Education Director* Hon. Alan Forst, Secretary-Treasurer Zascha B. Abbott, Immediate Past Chair* Angie Froelich, Section Administrator Joshua Chilson, Board</w:t>
      </w:r>
      <w:r>
        <w:rPr>
          <w:spacing w:val="57"/>
          <w:w w:val="115"/>
        </w:rPr>
        <w:t> </w:t>
      </w:r>
      <w:r>
        <w:rPr>
          <w:w w:val="115"/>
        </w:rPr>
        <w:t>Liaison*</w:t>
      </w:r>
    </w:p>
    <w:p>
      <w:pPr>
        <w:pStyle w:val="BodyText"/>
        <w:spacing w:before="2"/>
        <w:ind w:left="1520" w:right="7542"/>
      </w:pPr>
      <w:r>
        <w:rPr>
          <w:w w:val="115"/>
        </w:rPr>
        <w:t>David Block* Deborah Brown</w:t>
      </w:r>
    </w:p>
    <w:p>
      <w:pPr>
        <w:spacing w:after="0"/>
        <w:sectPr>
          <w:footerReference w:type="default" r:id="rId9"/>
          <w:pgSz w:w="12240" w:h="15840"/>
          <w:pgMar w:footer="523" w:header="0" w:top="1360" w:bottom="720" w:left="280" w:right="380"/>
          <w:pgNumType w:start="1"/>
        </w:sectPr>
      </w:pPr>
    </w:p>
    <w:p>
      <w:pPr>
        <w:pStyle w:val="BodyText"/>
        <w:spacing w:before="1"/>
        <w:ind w:left="1520" w:right="168"/>
      </w:pPr>
      <w:r>
        <w:rPr>
          <w:w w:val="115"/>
        </w:rPr>
        <w:t>Hon. Frank Brown Sherril Colombo* </w:t>
      </w:r>
      <w:r>
        <w:rPr>
          <w:w w:val="110"/>
        </w:rPr>
        <w:t>Robert Eschenfelder </w:t>
      </w:r>
      <w:r>
        <w:rPr>
          <w:w w:val="115"/>
        </w:rPr>
        <w:t>Yvette Everhart*</w:t>
      </w:r>
    </w:p>
    <w:p>
      <w:pPr>
        <w:pStyle w:val="BodyText"/>
        <w:spacing w:before="1"/>
        <w:ind w:left="1520"/>
      </w:pPr>
      <w:r>
        <w:rPr>
          <w:w w:val="110"/>
        </w:rPr>
        <w:t>Jennifer Fowler-Hermes* </w:t>
      </w:r>
      <w:r>
        <w:rPr>
          <w:w w:val="115"/>
        </w:rPr>
        <w:t>Eric Holshouser*</w:t>
      </w:r>
    </w:p>
    <w:p>
      <w:pPr>
        <w:pStyle w:val="BodyText"/>
        <w:spacing w:before="1"/>
        <w:ind w:left="1520"/>
      </w:pPr>
      <w:r>
        <w:rPr>
          <w:w w:val="110"/>
        </w:rPr>
        <w:t>Hon. Robert Kilbride*</w:t>
      </w:r>
    </w:p>
    <w:p>
      <w:pPr>
        <w:pStyle w:val="BodyText"/>
        <w:ind w:left="1520" w:right="849"/>
      </w:pPr>
      <w:r>
        <w:rPr>
          <w:w w:val="115"/>
        </w:rPr>
        <w:t>F. Damon Kitchen Leslie Langbein Jay</w:t>
      </w:r>
      <w:r>
        <w:rPr>
          <w:spacing w:val="60"/>
          <w:w w:val="115"/>
        </w:rPr>
        <w:t> </w:t>
      </w:r>
      <w:r>
        <w:rPr>
          <w:w w:val="115"/>
        </w:rPr>
        <w:t>Lechner Brian Lerner* Carlo Marichal* Gregg</w:t>
      </w:r>
      <w:r>
        <w:rPr>
          <w:spacing w:val="10"/>
          <w:w w:val="115"/>
        </w:rPr>
        <w:t> </w:t>
      </w:r>
      <w:r>
        <w:rPr>
          <w:w w:val="115"/>
        </w:rPr>
        <w:t>Morton</w:t>
      </w:r>
    </w:p>
    <w:p>
      <w:pPr>
        <w:pStyle w:val="BodyText"/>
        <w:spacing w:before="2"/>
        <w:ind w:left="1520" w:right="168"/>
      </w:pPr>
      <w:r>
        <w:rPr>
          <w:w w:val="115"/>
        </w:rPr>
        <w:t>Hon. Stephanie Ray* Cynthia Sass*</w:t>
      </w:r>
    </w:p>
    <w:p>
      <w:pPr>
        <w:pStyle w:val="BodyText"/>
        <w:spacing w:before="1"/>
        <w:ind w:left="1520" w:right="688"/>
      </w:pPr>
      <w:r>
        <w:rPr>
          <w:w w:val="115"/>
        </w:rPr>
        <w:t>Jill Schwartz* David Spalter* Leslie Reicin Stein* Robert Turk* Cristina Velez* Lindsey Wagner*</w:t>
      </w:r>
    </w:p>
    <w:p>
      <w:pPr>
        <w:pStyle w:val="BodyText"/>
        <w:spacing w:before="2"/>
      </w:pPr>
    </w:p>
    <w:p>
      <w:pPr>
        <w:pStyle w:val="BodyText"/>
        <w:spacing w:before="1"/>
        <w:ind w:left="1520"/>
      </w:pPr>
      <w:r>
        <w:rPr>
          <w:w w:val="110"/>
        </w:rPr>
        <w:t>*Appearing by phone</w:t>
      </w:r>
    </w:p>
    <w:p>
      <w:pPr>
        <w:pStyle w:val="BodyText"/>
        <w:spacing w:before="1"/>
      </w:pPr>
    </w:p>
    <w:p>
      <w:pPr>
        <w:pStyle w:val="Heading6"/>
        <w:numPr>
          <w:ilvl w:val="0"/>
          <w:numId w:val="2"/>
        </w:numPr>
        <w:tabs>
          <w:tab w:pos="1879" w:val="left" w:leader="none"/>
          <w:tab w:pos="1880" w:val="left" w:leader="none"/>
        </w:tabs>
        <w:spacing w:line="240" w:lineRule="auto" w:before="0" w:after="0"/>
        <w:ind w:left="1880" w:right="0" w:hanging="720"/>
        <w:jc w:val="left"/>
        <w:rPr>
          <w:rFonts w:ascii="Cambria"/>
        </w:rPr>
      </w:pPr>
      <w:r>
        <w:rPr>
          <w:rFonts w:ascii="Cambria"/>
          <w:w w:val="110"/>
        </w:rPr>
        <w:t>Call to</w:t>
      </w:r>
      <w:r>
        <w:rPr>
          <w:rFonts w:ascii="Cambria"/>
          <w:spacing w:val="-10"/>
          <w:w w:val="110"/>
        </w:rPr>
        <w:t> </w:t>
      </w:r>
      <w:r>
        <w:rPr>
          <w:rFonts w:ascii="Cambria"/>
          <w:w w:val="110"/>
        </w:rPr>
        <w:t>Order</w:t>
      </w:r>
    </w:p>
    <w:p>
      <w:pPr>
        <w:pStyle w:val="BodyText"/>
        <w:spacing w:before="2"/>
        <w:ind w:left="1160"/>
      </w:pPr>
      <w:r>
        <w:rPr/>
        <w:br w:type="column"/>
      </w:r>
      <w:r>
        <w:rPr>
          <w:w w:val="120"/>
          <w:u w:val="single"/>
        </w:rPr>
        <w:t>Guests</w:t>
      </w:r>
    </w:p>
    <w:p>
      <w:pPr>
        <w:pStyle w:val="BodyText"/>
        <w:spacing w:before="1"/>
      </w:pPr>
    </w:p>
    <w:p>
      <w:pPr>
        <w:pStyle w:val="BodyText"/>
        <w:ind w:left="1160" w:right="1746"/>
      </w:pPr>
      <w:r>
        <w:rPr>
          <w:w w:val="110"/>
        </w:rPr>
        <w:t>James Poindexter Will Rothenberg Tom Young Danielle Martin</w:t>
      </w:r>
    </w:p>
    <w:p>
      <w:pPr>
        <w:spacing w:after="0"/>
        <w:sectPr>
          <w:type w:val="continuous"/>
          <w:pgSz w:w="12240" w:h="15840"/>
          <w:pgMar w:top="540" w:bottom="280" w:left="280" w:right="380"/>
          <w:cols w:num="2" w:equalWidth="0">
            <w:col w:w="4477" w:space="2003"/>
            <w:col w:w="5100"/>
          </w:cols>
        </w:sectPr>
      </w:pPr>
    </w:p>
    <w:p>
      <w:pPr>
        <w:pStyle w:val="BodyText"/>
        <w:spacing w:before="8"/>
        <w:rPr>
          <w:sz w:val="15"/>
        </w:rPr>
      </w:pPr>
    </w:p>
    <w:p>
      <w:pPr>
        <w:pStyle w:val="BodyText"/>
        <w:spacing w:before="99"/>
        <w:ind w:left="1520" w:right="1054"/>
        <w:jc w:val="both"/>
      </w:pPr>
      <w:r>
        <w:rPr>
          <w:w w:val="110"/>
        </w:rPr>
        <w:t>President Cathleen Scott called the meeting to order at 5:07 p.m.   A quorum     of the Executive Council was present either in person or by telephone. The meeting began with Cathleen thanking Brian Lerner for his work in securing      a new conference call system for EC meetings (in light of the problems we had with</w:t>
      </w:r>
      <w:r>
        <w:rPr>
          <w:spacing w:val="11"/>
          <w:w w:val="110"/>
        </w:rPr>
        <w:t> </w:t>
      </w:r>
      <w:r>
        <w:rPr>
          <w:w w:val="110"/>
        </w:rPr>
        <w:t>the</w:t>
      </w:r>
      <w:r>
        <w:rPr>
          <w:spacing w:val="11"/>
          <w:w w:val="110"/>
        </w:rPr>
        <w:t> </w:t>
      </w:r>
      <w:r>
        <w:rPr>
          <w:w w:val="110"/>
        </w:rPr>
        <w:t>phones</w:t>
      </w:r>
      <w:r>
        <w:rPr>
          <w:spacing w:val="11"/>
          <w:w w:val="110"/>
        </w:rPr>
        <w:t> </w:t>
      </w:r>
      <w:r>
        <w:rPr>
          <w:w w:val="110"/>
        </w:rPr>
        <w:t>at</w:t>
      </w:r>
      <w:r>
        <w:rPr>
          <w:spacing w:val="15"/>
          <w:w w:val="110"/>
        </w:rPr>
        <w:t> </w:t>
      </w:r>
      <w:r>
        <w:rPr>
          <w:w w:val="110"/>
        </w:rPr>
        <w:t>that</w:t>
      </w:r>
      <w:r>
        <w:rPr>
          <w:spacing w:val="11"/>
          <w:w w:val="110"/>
        </w:rPr>
        <w:t> </w:t>
      </w:r>
      <w:r>
        <w:rPr>
          <w:w w:val="110"/>
        </w:rPr>
        <w:t>meeting,</w:t>
      </w:r>
      <w:r>
        <w:rPr>
          <w:spacing w:val="11"/>
          <w:w w:val="110"/>
        </w:rPr>
        <w:t> </w:t>
      </w:r>
      <w:r>
        <w:rPr>
          <w:w w:val="110"/>
        </w:rPr>
        <w:t>this</w:t>
      </w:r>
      <w:r>
        <w:rPr>
          <w:spacing w:val="11"/>
          <w:w w:val="110"/>
        </w:rPr>
        <w:t> </w:t>
      </w:r>
      <w:r>
        <w:rPr>
          <w:w w:val="110"/>
        </w:rPr>
        <w:t>appreciation</w:t>
      </w:r>
      <w:r>
        <w:rPr>
          <w:spacing w:val="11"/>
          <w:w w:val="110"/>
        </w:rPr>
        <w:t> </w:t>
      </w:r>
      <w:r>
        <w:rPr>
          <w:w w:val="110"/>
        </w:rPr>
        <w:t>might</w:t>
      </w:r>
      <w:r>
        <w:rPr>
          <w:spacing w:val="11"/>
          <w:w w:val="110"/>
        </w:rPr>
        <w:t> </w:t>
      </w:r>
      <w:r>
        <w:rPr>
          <w:w w:val="110"/>
        </w:rPr>
        <w:t>be</w:t>
      </w:r>
      <w:r>
        <w:rPr>
          <w:spacing w:val="12"/>
          <w:w w:val="110"/>
        </w:rPr>
        <w:t> </w:t>
      </w:r>
      <w:r>
        <w:rPr>
          <w:w w:val="110"/>
        </w:rPr>
        <w:t>akin</w:t>
      </w:r>
      <w:r>
        <w:rPr>
          <w:spacing w:val="11"/>
          <w:w w:val="110"/>
        </w:rPr>
        <w:t> </w:t>
      </w:r>
      <w:r>
        <w:rPr>
          <w:w w:val="110"/>
        </w:rPr>
        <w:t>to</w:t>
      </w:r>
      <w:r>
        <w:rPr>
          <w:spacing w:val="11"/>
          <w:w w:val="110"/>
        </w:rPr>
        <w:t> </w:t>
      </w:r>
      <w:r>
        <w:rPr>
          <w:w w:val="110"/>
        </w:rPr>
        <w:t>“Mrs.</w:t>
      </w:r>
    </w:p>
    <w:p>
      <w:pPr>
        <w:spacing w:after="0"/>
        <w:jc w:val="both"/>
        <w:sectPr>
          <w:type w:val="continuous"/>
          <w:pgSz w:w="12240" w:h="15840"/>
          <w:pgMar w:top="540" w:bottom="280" w:left="280" w:right="380"/>
        </w:sectPr>
      </w:pPr>
    </w:p>
    <w:p>
      <w:pPr>
        <w:pStyle w:val="BodyText"/>
        <w:spacing w:before="77"/>
        <w:ind w:left="1520" w:right="1051"/>
        <w:jc w:val="both"/>
      </w:pPr>
      <w:r>
        <w:rPr>
          <w:w w:val="110"/>
        </w:rPr>
        <w:t>Kennedy and I appreciate the suggestion that we put the top down for the motorcade.”). Cathleen next requested the approval of the minutes (</w:t>
      </w:r>
      <w:r>
        <w:rPr>
          <w:rFonts w:ascii="Georgia" w:hAnsi="Georgia"/>
          <w:i/>
          <w:w w:val="110"/>
        </w:rPr>
        <w:t>Agenda </w:t>
      </w:r>
      <w:r>
        <w:rPr>
          <w:rFonts w:ascii="Georgia" w:hAnsi="Georgia"/>
          <w:i/>
          <w:w w:val="110"/>
        </w:rPr>
        <w:t>Attachment A</w:t>
      </w:r>
      <w:r>
        <w:rPr>
          <w:w w:val="110"/>
        </w:rPr>
        <w:t>) from the September 13, 2018 meeting. Leslie Langbein requested that the minutes be amended to show she had an excused absence. With that amendment, the proposed minutes were approved (Eschenfelder moving, Brown seconding).</w:t>
      </w:r>
    </w:p>
    <w:p>
      <w:pPr>
        <w:pStyle w:val="BodyText"/>
        <w:spacing w:before="3"/>
      </w:pPr>
    </w:p>
    <w:p>
      <w:pPr>
        <w:pStyle w:val="Heading6"/>
        <w:numPr>
          <w:ilvl w:val="0"/>
          <w:numId w:val="2"/>
        </w:numPr>
        <w:tabs>
          <w:tab w:pos="1880" w:val="left" w:leader="none"/>
        </w:tabs>
        <w:spacing w:line="240" w:lineRule="auto" w:before="0" w:after="0"/>
        <w:ind w:left="1880" w:right="0" w:hanging="720"/>
        <w:jc w:val="both"/>
        <w:rPr>
          <w:rFonts w:ascii="Cambria"/>
        </w:rPr>
      </w:pPr>
      <w:r>
        <w:rPr>
          <w:rFonts w:ascii="Cambria"/>
          <w:w w:val="110"/>
        </w:rPr>
        <w:t>Secretary/Treasurer</w:t>
      </w:r>
      <w:r>
        <w:rPr>
          <w:rFonts w:ascii="Cambria"/>
          <w:spacing w:val="22"/>
          <w:w w:val="110"/>
        </w:rPr>
        <w:t> </w:t>
      </w:r>
      <w:r>
        <w:rPr>
          <w:rFonts w:ascii="Cambria"/>
          <w:w w:val="110"/>
        </w:rPr>
        <w:t>Report</w:t>
      </w:r>
    </w:p>
    <w:p>
      <w:pPr>
        <w:pStyle w:val="BodyText"/>
        <w:spacing w:before="2"/>
        <w:rPr>
          <w:b/>
        </w:rPr>
      </w:pPr>
    </w:p>
    <w:p>
      <w:pPr>
        <w:spacing w:line="281" w:lineRule="exact" w:before="0"/>
        <w:ind w:left="1520" w:right="0" w:firstLine="0"/>
        <w:jc w:val="both"/>
        <w:rPr>
          <w:rFonts w:ascii="Georgia"/>
          <w:i/>
          <w:sz w:val="24"/>
        </w:rPr>
      </w:pPr>
      <w:r>
        <w:rPr>
          <w:rFonts w:ascii="Cambria"/>
          <w:w w:val="110"/>
          <w:sz w:val="24"/>
        </w:rPr>
        <w:t>Judge Forst referenced the proposed budget for 2019-20 (</w:t>
      </w:r>
      <w:r>
        <w:rPr>
          <w:rFonts w:ascii="Georgia"/>
          <w:i/>
          <w:w w:val="110"/>
          <w:sz w:val="24"/>
        </w:rPr>
        <w:t>Agenda Attachment</w:t>
      </w:r>
    </w:p>
    <w:p>
      <w:pPr>
        <w:pStyle w:val="BodyText"/>
        <w:ind w:left="1160" w:right="1053"/>
        <w:jc w:val="both"/>
      </w:pPr>
      <w:r>
        <w:rPr>
          <w:rFonts w:ascii="Georgia" w:hAnsi="Georgia"/>
          <w:i/>
          <w:w w:val="115"/>
        </w:rPr>
        <w:t>B</w:t>
      </w:r>
      <w:r>
        <w:rPr>
          <w:w w:val="115"/>
        </w:rPr>
        <w:t>) that was an agenda attachment.</w:t>
      </w:r>
      <w:r>
        <w:rPr>
          <w:spacing w:val="60"/>
          <w:w w:val="115"/>
        </w:rPr>
        <w:t> </w:t>
      </w:r>
      <w:r>
        <w:rPr>
          <w:w w:val="115"/>
        </w:rPr>
        <w:t>In an eloquent presentation which had the room spellbound, Judge Forst detailed the interesting budgetary trends (ok, I’m kidding</w:t>
      </w:r>
      <w:r>
        <w:rPr>
          <w:spacing w:val="-10"/>
          <w:w w:val="115"/>
        </w:rPr>
        <w:t> </w:t>
      </w:r>
      <w:r>
        <w:rPr>
          <w:w w:val="115"/>
        </w:rPr>
        <w:t>about</w:t>
      </w:r>
      <w:r>
        <w:rPr>
          <w:spacing w:val="-10"/>
          <w:w w:val="115"/>
        </w:rPr>
        <w:t> </w:t>
      </w:r>
      <w:r>
        <w:rPr>
          <w:w w:val="115"/>
        </w:rPr>
        <w:t>the</w:t>
      </w:r>
      <w:r>
        <w:rPr>
          <w:spacing w:val="-10"/>
          <w:w w:val="115"/>
        </w:rPr>
        <w:t> </w:t>
      </w:r>
      <w:r>
        <w:rPr>
          <w:w w:val="115"/>
        </w:rPr>
        <w:t>eloquent</w:t>
      </w:r>
      <w:r>
        <w:rPr>
          <w:spacing w:val="-10"/>
          <w:w w:val="115"/>
        </w:rPr>
        <w:t> </w:t>
      </w:r>
      <w:r>
        <w:rPr>
          <w:w w:val="115"/>
        </w:rPr>
        <w:t>and</w:t>
      </w:r>
      <w:r>
        <w:rPr>
          <w:spacing w:val="-9"/>
          <w:w w:val="115"/>
        </w:rPr>
        <w:t> </w:t>
      </w:r>
      <w:r>
        <w:rPr>
          <w:w w:val="115"/>
        </w:rPr>
        <w:t>spellbound</w:t>
      </w:r>
      <w:r>
        <w:rPr>
          <w:spacing w:val="-10"/>
          <w:w w:val="115"/>
        </w:rPr>
        <w:t> </w:t>
      </w:r>
      <w:r>
        <w:rPr>
          <w:w w:val="115"/>
        </w:rPr>
        <w:t>and</w:t>
      </w:r>
      <w:r>
        <w:rPr>
          <w:spacing w:val="-9"/>
          <w:w w:val="115"/>
        </w:rPr>
        <w:t> </w:t>
      </w:r>
      <w:r>
        <w:rPr>
          <w:w w:val="115"/>
        </w:rPr>
        <w:t>my</w:t>
      </w:r>
      <w:r>
        <w:rPr>
          <w:spacing w:val="-10"/>
          <w:w w:val="115"/>
        </w:rPr>
        <w:t> </w:t>
      </w:r>
      <w:r>
        <w:rPr>
          <w:w w:val="115"/>
        </w:rPr>
        <w:t>notes</w:t>
      </w:r>
      <w:r>
        <w:rPr>
          <w:spacing w:val="-10"/>
          <w:w w:val="115"/>
        </w:rPr>
        <w:t> </w:t>
      </w:r>
      <w:r>
        <w:rPr>
          <w:w w:val="115"/>
        </w:rPr>
        <w:t>don’t</w:t>
      </w:r>
      <w:r>
        <w:rPr>
          <w:spacing w:val="-10"/>
          <w:w w:val="115"/>
        </w:rPr>
        <w:t> </w:t>
      </w:r>
      <w:r>
        <w:rPr>
          <w:w w:val="115"/>
        </w:rPr>
        <w:t>even</w:t>
      </w:r>
      <w:r>
        <w:rPr>
          <w:spacing w:val="-9"/>
          <w:w w:val="115"/>
        </w:rPr>
        <w:t> </w:t>
      </w:r>
      <w:r>
        <w:rPr>
          <w:w w:val="115"/>
        </w:rPr>
        <w:t>reflect</w:t>
      </w:r>
      <w:r>
        <w:rPr>
          <w:spacing w:val="-10"/>
          <w:w w:val="115"/>
        </w:rPr>
        <w:t> </w:t>
      </w:r>
      <w:r>
        <w:rPr>
          <w:w w:val="115"/>
        </w:rPr>
        <w:t>what I said because I can’t write and speak at the same time). Judge Forst noted that we had room (lots of room) to improve upon our revenue produced from webcasts,</w:t>
      </w:r>
      <w:r>
        <w:rPr>
          <w:spacing w:val="60"/>
          <w:w w:val="115"/>
        </w:rPr>
        <w:t> </w:t>
      </w:r>
      <w:r>
        <w:rPr>
          <w:w w:val="115"/>
        </w:rPr>
        <w:t>sponsorships,  CD/DVD/VCR/Laser  Disc  sales,  advertising  and  investment allocation. RAAC Chairman Brown inquired about the decline in</w:t>
      </w:r>
      <w:r>
        <w:rPr>
          <w:spacing w:val="-43"/>
          <w:w w:val="115"/>
        </w:rPr>
        <w:t> </w:t>
      </w:r>
      <w:r>
        <w:rPr>
          <w:w w:val="115"/>
        </w:rPr>
        <w:t>CLE revenue and Administrator Froelich responded that CLE revenue is down</w:t>
      </w:r>
      <w:r>
        <w:rPr>
          <w:spacing w:val="60"/>
          <w:w w:val="115"/>
        </w:rPr>
        <w:t> </w:t>
      </w:r>
      <w:r>
        <w:rPr>
          <w:w w:val="115"/>
        </w:rPr>
        <w:t>throughout the Bar. Discussion (led by Brian Lerner) then turned to the development</w:t>
      </w:r>
      <w:r>
        <w:rPr>
          <w:spacing w:val="-17"/>
          <w:w w:val="115"/>
        </w:rPr>
        <w:t> </w:t>
      </w:r>
      <w:r>
        <w:rPr>
          <w:w w:val="115"/>
        </w:rPr>
        <w:t>of</w:t>
      </w:r>
      <w:r>
        <w:rPr>
          <w:spacing w:val="-17"/>
          <w:w w:val="115"/>
        </w:rPr>
        <w:t> </w:t>
      </w:r>
      <w:r>
        <w:rPr>
          <w:w w:val="115"/>
        </w:rPr>
        <w:t>the</w:t>
      </w:r>
      <w:r>
        <w:rPr>
          <w:spacing w:val="-17"/>
          <w:w w:val="115"/>
        </w:rPr>
        <w:t> </w:t>
      </w:r>
      <w:r>
        <w:rPr>
          <w:w w:val="115"/>
        </w:rPr>
        <w:t>Section’s</w:t>
      </w:r>
      <w:r>
        <w:rPr>
          <w:spacing w:val="-17"/>
          <w:w w:val="115"/>
        </w:rPr>
        <w:t> </w:t>
      </w:r>
      <w:r>
        <w:rPr>
          <w:w w:val="115"/>
        </w:rPr>
        <w:t>website,</w:t>
      </w:r>
      <w:r>
        <w:rPr>
          <w:spacing w:val="-17"/>
          <w:w w:val="115"/>
        </w:rPr>
        <w:t> </w:t>
      </w:r>
      <w:r>
        <w:rPr>
          <w:w w:val="115"/>
        </w:rPr>
        <w:t>with</w:t>
      </w:r>
      <w:r>
        <w:rPr>
          <w:spacing w:val="-17"/>
          <w:w w:val="115"/>
        </w:rPr>
        <w:t> </w:t>
      </w:r>
      <w:r>
        <w:rPr>
          <w:w w:val="115"/>
        </w:rPr>
        <w:t>the</w:t>
      </w:r>
      <w:r>
        <w:rPr>
          <w:spacing w:val="-17"/>
          <w:w w:val="115"/>
        </w:rPr>
        <w:t> </w:t>
      </w:r>
      <w:r>
        <w:rPr>
          <w:w w:val="115"/>
        </w:rPr>
        <w:t>expectation</w:t>
      </w:r>
      <w:r>
        <w:rPr>
          <w:spacing w:val="-17"/>
          <w:w w:val="115"/>
        </w:rPr>
        <w:t> </w:t>
      </w:r>
      <w:r>
        <w:rPr>
          <w:w w:val="115"/>
        </w:rPr>
        <w:t>that</w:t>
      </w:r>
      <w:r>
        <w:rPr>
          <w:spacing w:val="-17"/>
          <w:w w:val="115"/>
        </w:rPr>
        <w:t> </w:t>
      </w:r>
      <w:r>
        <w:rPr>
          <w:w w:val="115"/>
        </w:rPr>
        <w:t>we</w:t>
      </w:r>
      <w:r>
        <w:rPr>
          <w:spacing w:val="-17"/>
          <w:w w:val="115"/>
        </w:rPr>
        <w:t> </w:t>
      </w:r>
      <w:r>
        <w:rPr>
          <w:w w:val="115"/>
        </w:rPr>
        <w:t>will</w:t>
      </w:r>
      <w:r>
        <w:rPr>
          <w:spacing w:val="-17"/>
          <w:w w:val="115"/>
        </w:rPr>
        <w:t> </w:t>
      </w:r>
      <w:r>
        <w:rPr>
          <w:w w:val="115"/>
        </w:rPr>
        <w:t>be</w:t>
      </w:r>
      <w:r>
        <w:rPr>
          <w:spacing w:val="-17"/>
          <w:w w:val="115"/>
        </w:rPr>
        <w:t> </w:t>
      </w:r>
      <w:r>
        <w:rPr>
          <w:w w:val="115"/>
        </w:rPr>
        <w:t>paying more for the website in 2019-20 (more discussion later in the meeting).</w:t>
      </w:r>
      <w:r>
        <w:rPr>
          <w:spacing w:val="60"/>
          <w:w w:val="115"/>
        </w:rPr>
        <w:t> </w:t>
      </w:r>
      <w:r>
        <w:rPr>
          <w:w w:val="115"/>
        </w:rPr>
        <w:t>Rob Eschenfelder</w:t>
      </w:r>
      <w:r>
        <w:rPr>
          <w:spacing w:val="-24"/>
          <w:w w:val="115"/>
        </w:rPr>
        <w:t> </w:t>
      </w:r>
      <w:r>
        <w:rPr>
          <w:w w:val="115"/>
        </w:rPr>
        <w:t>(“RobE”)</w:t>
      </w:r>
      <w:r>
        <w:rPr>
          <w:spacing w:val="-23"/>
          <w:w w:val="115"/>
        </w:rPr>
        <w:t> </w:t>
      </w:r>
      <w:r>
        <w:rPr>
          <w:w w:val="115"/>
        </w:rPr>
        <w:t>moved,</w:t>
      </w:r>
      <w:r>
        <w:rPr>
          <w:spacing w:val="-23"/>
          <w:w w:val="115"/>
        </w:rPr>
        <w:t> </w:t>
      </w:r>
      <w:r>
        <w:rPr>
          <w:w w:val="115"/>
        </w:rPr>
        <w:t>David</w:t>
      </w:r>
      <w:r>
        <w:rPr>
          <w:spacing w:val="-24"/>
          <w:w w:val="115"/>
        </w:rPr>
        <w:t> </w:t>
      </w:r>
      <w:r>
        <w:rPr>
          <w:w w:val="115"/>
        </w:rPr>
        <w:t>Adams</w:t>
      </w:r>
      <w:r>
        <w:rPr>
          <w:spacing w:val="-23"/>
          <w:w w:val="115"/>
        </w:rPr>
        <w:t> </w:t>
      </w:r>
      <w:r>
        <w:rPr>
          <w:w w:val="115"/>
        </w:rPr>
        <w:t>seconded</w:t>
      </w:r>
      <w:r>
        <w:rPr>
          <w:spacing w:val="-23"/>
          <w:w w:val="115"/>
        </w:rPr>
        <w:t> </w:t>
      </w:r>
      <w:r>
        <w:rPr>
          <w:w w:val="115"/>
        </w:rPr>
        <w:t>the</w:t>
      </w:r>
      <w:r>
        <w:rPr>
          <w:spacing w:val="-24"/>
          <w:w w:val="115"/>
        </w:rPr>
        <w:t> </w:t>
      </w:r>
      <w:r>
        <w:rPr>
          <w:w w:val="115"/>
        </w:rPr>
        <w:t>approval</w:t>
      </w:r>
      <w:r>
        <w:rPr>
          <w:spacing w:val="-23"/>
          <w:w w:val="115"/>
        </w:rPr>
        <w:t> </w:t>
      </w:r>
      <w:r>
        <w:rPr>
          <w:w w:val="115"/>
        </w:rPr>
        <w:t>of</w:t>
      </w:r>
      <w:r>
        <w:rPr>
          <w:spacing w:val="-24"/>
          <w:w w:val="115"/>
        </w:rPr>
        <w:t> </w:t>
      </w:r>
      <w:r>
        <w:rPr>
          <w:w w:val="115"/>
        </w:rPr>
        <w:t>the</w:t>
      </w:r>
      <w:r>
        <w:rPr>
          <w:spacing w:val="-23"/>
          <w:w w:val="115"/>
        </w:rPr>
        <w:t> </w:t>
      </w:r>
      <w:r>
        <w:rPr>
          <w:w w:val="115"/>
        </w:rPr>
        <w:t>budget. Approval was</w:t>
      </w:r>
      <w:r>
        <w:rPr>
          <w:spacing w:val="30"/>
          <w:w w:val="115"/>
        </w:rPr>
        <w:t> </w:t>
      </w:r>
      <w:r>
        <w:rPr>
          <w:w w:val="115"/>
        </w:rPr>
        <w:t>unanimous.</w:t>
      </w:r>
    </w:p>
    <w:p>
      <w:pPr>
        <w:pStyle w:val="BodyText"/>
        <w:spacing w:before="6"/>
      </w:pPr>
    </w:p>
    <w:p>
      <w:pPr>
        <w:pStyle w:val="Heading6"/>
        <w:numPr>
          <w:ilvl w:val="0"/>
          <w:numId w:val="2"/>
        </w:numPr>
        <w:tabs>
          <w:tab w:pos="1880" w:val="left" w:leader="none"/>
        </w:tabs>
        <w:spacing w:line="240" w:lineRule="auto" w:before="0" w:after="0"/>
        <w:ind w:left="1880" w:right="0" w:hanging="720"/>
        <w:jc w:val="both"/>
        <w:rPr>
          <w:rFonts w:ascii="Cambria"/>
        </w:rPr>
      </w:pPr>
      <w:r>
        <w:rPr>
          <w:rFonts w:ascii="Cambria"/>
          <w:w w:val="115"/>
        </w:rPr>
        <w:t>Committee</w:t>
      </w:r>
      <w:r>
        <w:rPr>
          <w:rFonts w:ascii="Cambria"/>
          <w:spacing w:val="20"/>
          <w:w w:val="115"/>
        </w:rPr>
        <w:t> </w:t>
      </w:r>
      <w:r>
        <w:rPr>
          <w:rFonts w:ascii="Cambria"/>
          <w:w w:val="115"/>
        </w:rPr>
        <w:t>Reports</w:t>
      </w:r>
    </w:p>
    <w:p>
      <w:pPr>
        <w:pStyle w:val="BodyText"/>
        <w:spacing w:before="10"/>
        <w:rPr>
          <w:b/>
          <w:sz w:val="23"/>
        </w:rPr>
      </w:pPr>
    </w:p>
    <w:p>
      <w:pPr>
        <w:pStyle w:val="BodyText"/>
        <w:spacing w:before="1"/>
        <w:ind w:left="1160" w:right="1055" w:firstLine="360"/>
        <w:jc w:val="both"/>
      </w:pPr>
      <w:r>
        <w:rPr>
          <w:b/>
          <w:w w:val="115"/>
        </w:rPr>
        <w:t>Odds and Ends: </w:t>
      </w:r>
      <w:r>
        <w:rPr>
          <w:w w:val="115"/>
        </w:rPr>
        <w:t>Several of the Committees/Subcommittees submitted written reports (</w:t>
      </w:r>
      <w:r>
        <w:rPr>
          <w:rFonts w:ascii="Georgia" w:hAnsi="Georgia"/>
          <w:i/>
          <w:w w:val="115"/>
        </w:rPr>
        <w:t>Agenda Attachments C &amp; D</w:t>
      </w:r>
      <w:r>
        <w:rPr>
          <w:w w:val="115"/>
        </w:rPr>
        <w:t>). The ABA Liaison Subcommittee made note of a then-upcoming Trial Advocacy law student competition.</w:t>
      </w:r>
      <w:r>
        <w:rPr>
          <w:spacing w:val="60"/>
          <w:w w:val="115"/>
        </w:rPr>
        <w:t> </w:t>
      </w:r>
      <w:r>
        <w:rPr>
          <w:w w:val="115"/>
        </w:rPr>
        <w:t>The  Judicial Outreach Subcommittee announced that Section Chair Scott would be joining</w:t>
      </w:r>
      <w:r>
        <w:rPr>
          <w:spacing w:val="-5"/>
          <w:w w:val="115"/>
        </w:rPr>
        <w:t> </w:t>
      </w:r>
      <w:r>
        <w:rPr>
          <w:w w:val="115"/>
        </w:rPr>
        <w:t>Judges</w:t>
      </w:r>
      <w:r>
        <w:rPr>
          <w:spacing w:val="-4"/>
          <w:w w:val="115"/>
        </w:rPr>
        <w:t> </w:t>
      </w:r>
      <w:r>
        <w:rPr>
          <w:w w:val="115"/>
        </w:rPr>
        <w:t>Forst</w:t>
      </w:r>
      <w:r>
        <w:rPr>
          <w:spacing w:val="-5"/>
          <w:w w:val="115"/>
        </w:rPr>
        <w:t> </w:t>
      </w:r>
      <w:r>
        <w:rPr>
          <w:w w:val="115"/>
        </w:rPr>
        <w:t>and</w:t>
      </w:r>
      <w:r>
        <w:rPr>
          <w:spacing w:val="-4"/>
          <w:w w:val="115"/>
        </w:rPr>
        <w:t> </w:t>
      </w:r>
      <w:r>
        <w:rPr>
          <w:w w:val="115"/>
        </w:rPr>
        <w:t>Sasser</w:t>
      </w:r>
      <w:r>
        <w:rPr>
          <w:spacing w:val="-5"/>
          <w:w w:val="115"/>
        </w:rPr>
        <w:t> </w:t>
      </w:r>
      <w:r>
        <w:rPr>
          <w:w w:val="115"/>
        </w:rPr>
        <w:t>to</w:t>
      </w:r>
      <w:r>
        <w:rPr>
          <w:spacing w:val="-4"/>
          <w:w w:val="115"/>
        </w:rPr>
        <w:t> </w:t>
      </w:r>
      <w:r>
        <w:rPr>
          <w:w w:val="115"/>
        </w:rPr>
        <w:t>present</w:t>
      </w:r>
      <w:r>
        <w:rPr>
          <w:spacing w:val="-5"/>
          <w:w w:val="115"/>
        </w:rPr>
        <w:t> </w:t>
      </w:r>
      <w:r>
        <w:rPr>
          <w:w w:val="115"/>
        </w:rPr>
        <w:t>an</w:t>
      </w:r>
      <w:r>
        <w:rPr>
          <w:spacing w:val="-4"/>
          <w:w w:val="115"/>
        </w:rPr>
        <w:t> </w:t>
      </w:r>
      <w:r>
        <w:rPr>
          <w:w w:val="115"/>
        </w:rPr>
        <w:t>employment</w:t>
      </w:r>
      <w:r>
        <w:rPr>
          <w:spacing w:val="-4"/>
          <w:w w:val="115"/>
        </w:rPr>
        <w:t> </w:t>
      </w:r>
      <w:r>
        <w:rPr>
          <w:w w:val="115"/>
        </w:rPr>
        <w:t>law</w:t>
      </w:r>
      <w:r>
        <w:rPr>
          <w:spacing w:val="-5"/>
          <w:w w:val="115"/>
        </w:rPr>
        <w:t> </w:t>
      </w:r>
      <w:r>
        <w:rPr>
          <w:w w:val="115"/>
        </w:rPr>
        <w:t>course</w:t>
      </w:r>
      <w:r>
        <w:rPr>
          <w:spacing w:val="-4"/>
          <w:w w:val="115"/>
        </w:rPr>
        <w:t> </w:t>
      </w:r>
      <w:r>
        <w:rPr>
          <w:w w:val="115"/>
        </w:rPr>
        <w:t>for</w:t>
      </w:r>
      <w:r>
        <w:rPr>
          <w:spacing w:val="-5"/>
          <w:w w:val="115"/>
        </w:rPr>
        <w:t> </w:t>
      </w:r>
      <w:r>
        <w:rPr>
          <w:w w:val="115"/>
        </w:rPr>
        <w:t>judges at the Florida Judiciary’s Advanced Judicial Studies program in May 2019. Cristina Velez noted that the Law School Liaison Subcommittee was in the process</w:t>
      </w:r>
      <w:r>
        <w:rPr>
          <w:spacing w:val="-9"/>
          <w:w w:val="115"/>
        </w:rPr>
        <w:t> </w:t>
      </w:r>
      <w:r>
        <w:rPr>
          <w:w w:val="115"/>
        </w:rPr>
        <w:t>of</w:t>
      </w:r>
      <w:r>
        <w:rPr>
          <w:spacing w:val="-8"/>
          <w:w w:val="115"/>
        </w:rPr>
        <w:t> </w:t>
      </w:r>
      <w:r>
        <w:rPr>
          <w:w w:val="115"/>
        </w:rPr>
        <w:t>shuffling</w:t>
      </w:r>
      <w:r>
        <w:rPr>
          <w:spacing w:val="-8"/>
          <w:w w:val="115"/>
        </w:rPr>
        <w:t> </w:t>
      </w:r>
      <w:r>
        <w:rPr>
          <w:w w:val="115"/>
        </w:rPr>
        <w:t>school</w:t>
      </w:r>
      <w:r>
        <w:rPr>
          <w:spacing w:val="-8"/>
          <w:w w:val="115"/>
        </w:rPr>
        <w:t> </w:t>
      </w:r>
      <w:r>
        <w:rPr>
          <w:w w:val="115"/>
        </w:rPr>
        <w:t>assignments</w:t>
      </w:r>
      <w:r>
        <w:rPr>
          <w:spacing w:val="-9"/>
          <w:w w:val="115"/>
        </w:rPr>
        <w:t> </w:t>
      </w:r>
      <w:r>
        <w:rPr>
          <w:w w:val="115"/>
        </w:rPr>
        <w:t>for</w:t>
      </w:r>
      <w:r>
        <w:rPr>
          <w:spacing w:val="-8"/>
          <w:w w:val="115"/>
        </w:rPr>
        <w:t> </w:t>
      </w:r>
      <w:r>
        <w:rPr>
          <w:w w:val="115"/>
        </w:rPr>
        <w:t>the</w:t>
      </w:r>
      <w:r>
        <w:rPr>
          <w:spacing w:val="-8"/>
          <w:w w:val="115"/>
        </w:rPr>
        <w:t> </w:t>
      </w:r>
      <w:r>
        <w:rPr>
          <w:w w:val="115"/>
        </w:rPr>
        <w:t>scholarship</w:t>
      </w:r>
      <w:r>
        <w:rPr>
          <w:spacing w:val="-8"/>
          <w:w w:val="115"/>
        </w:rPr>
        <w:t> </w:t>
      </w:r>
      <w:r>
        <w:rPr>
          <w:w w:val="115"/>
        </w:rPr>
        <w:t>review</w:t>
      </w:r>
      <w:r>
        <w:rPr>
          <w:spacing w:val="-9"/>
          <w:w w:val="115"/>
        </w:rPr>
        <w:t> </w:t>
      </w:r>
      <w:r>
        <w:rPr>
          <w:w w:val="115"/>
        </w:rPr>
        <w:t>and</w:t>
      </w:r>
      <w:r>
        <w:rPr>
          <w:spacing w:val="-8"/>
          <w:w w:val="115"/>
        </w:rPr>
        <w:t> </w:t>
      </w:r>
      <w:r>
        <w:rPr>
          <w:w w:val="115"/>
        </w:rPr>
        <w:t>would</w:t>
      </w:r>
      <w:r>
        <w:rPr>
          <w:spacing w:val="-8"/>
          <w:w w:val="115"/>
        </w:rPr>
        <w:t> </w:t>
      </w:r>
      <w:r>
        <w:rPr>
          <w:w w:val="115"/>
        </w:rPr>
        <w:t>be updating</w:t>
      </w:r>
      <w:r>
        <w:rPr>
          <w:spacing w:val="-15"/>
          <w:w w:val="115"/>
        </w:rPr>
        <w:t> </w:t>
      </w:r>
      <w:r>
        <w:rPr>
          <w:w w:val="115"/>
        </w:rPr>
        <w:t>its</w:t>
      </w:r>
      <w:r>
        <w:rPr>
          <w:spacing w:val="-14"/>
          <w:w w:val="115"/>
        </w:rPr>
        <w:t> </w:t>
      </w:r>
      <w:r>
        <w:rPr>
          <w:w w:val="115"/>
        </w:rPr>
        <w:t>committee</w:t>
      </w:r>
      <w:r>
        <w:rPr>
          <w:spacing w:val="-14"/>
          <w:w w:val="115"/>
        </w:rPr>
        <w:t> </w:t>
      </w:r>
      <w:r>
        <w:rPr>
          <w:w w:val="115"/>
        </w:rPr>
        <w:t>goals.</w:t>
      </w:r>
      <w:r>
        <w:rPr>
          <w:spacing w:val="33"/>
          <w:w w:val="115"/>
        </w:rPr>
        <w:t> </w:t>
      </w:r>
      <w:r>
        <w:rPr>
          <w:w w:val="115"/>
        </w:rPr>
        <w:t>Bob</w:t>
      </w:r>
      <w:r>
        <w:rPr>
          <w:spacing w:val="-14"/>
          <w:w w:val="115"/>
        </w:rPr>
        <w:t> </w:t>
      </w:r>
      <w:r>
        <w:rPr>
          <w:w w:val="115"/>
        </w:rPr>
        <w:t>Turk</w:t>
      </w:r>
      <w:r>
        <w:rPr>
          <w:spacing w:val="-15"/>
          <w:w w:val="115"/>
        </w:rPr>
        <w:t> </w:t>
      </w:r>
      <w:r>
        <w:rPr>
          <w:w w:val="115"/>
        </w:rPr>
        <w:t>called</w:t>
      </w:r>
      <w:r>
        <w:rPr>
          <w:spacing w:val="-14"/>
          <w:w w:val="115"/>
        </w:rPr>
        <w:t> </w:t>
      </w:r>
      <w:r>
        <w:rPr>
          <w:w w:val="115"/>
        </w:rPr>
        <w:t>attention</w:t>
      </w:r>
      <w:r>
        <w:rPr>
          <w:spacing w:val="-14"/>
          <w:w w:val="115"/>
        </w:rPr>
        <w:t> </w:t>
      </w:r>
      <w:r>
        <w:rPr>
          <w:w w:val="115"/>
        </w:rPr>
        <w:t>to</w:t>
      </w:r>
      <w:r>
        <w:rPr>
          <w:spacing w:val="-14"/>
          <w:w w:val="115"/>
        </w:rPr>
        <w:t> </w:t>
      </w:r>
      <w:r>
        <w:rPr>
          <w:w w:val="115"/>
        </w:rPr>
        <w:t>the</w:t>
      </w:r>
      <w:r>
        <w:rPr>
          <w:spacing w:val="-16"/>
          <w:w w:val="115"/>
        </w:rPr>
        <w:t> </w:t>
      </w:r>
      <w:r>
        <w:rPr>
          <w:w w:val="115"/>
        </w:rPr>
        <w:t>Georgia</w:t>
      </w:r>
      <w:r>
        <w:rPr>
          <w:spacing w:val="-14"/>
          <w:w w:val="115"/>
        </w:rPr>
        <w:t> </w:t>
      </w:r>
      <w:r>
        <w:rPr>
          <w:w w:val="115"/>
        </w:rPr>
        <w:t>Bar</w:t>
      </w:r>
      <w:r>
        <w:rPr>
          <w:spacing w:val="-15"/>
          <w:w w:val="115"/>
        </w:rPr>
        <w:t> </w:t>
      </w:r>
      <w:r>
        <w:rPr>
          <w:w w:val="115"/>
        </w:rPr>
        <w:t>Labor Section’s</w:t>
      </w:r>
      <w:r>
        <w:rPr>
          <w:spacing w:val="-22"/>
          <w:w w:val="115"/>
        </w:rPr>
        <w:t> </w:t>
      </w:r>
      <w:r>
        <w:rPr>
          <w:w w:val="115"/>
        </w:rPr>
        <w:t>mentoring</w:t>
      </w:r>
      <w:r>
        <w:rPr>
          <w:spacing w:val="-22"/>
          <w:w w:val="115"/>
        </w:rPr>
        <w:t> </w:t>
      </w:r>
      <w:r>
        <w:rPr>
          <w:w w:val="115"/>
        </w:rPr>
        <w:t>project</w:t>
      </w:r>
      <w:r>
        <w:rPr>
          <w:spacing w:val="-21"/>
          <w:w w:val="115"/>
        </w:rPr>
        <w:t> </w:t>
      </w:r>
      <w:r>
        <w:rPr>
          <w:w w:val="115"/>
        </w:rPr>
        <w:t>and</w:t>
      </w:r>
      <w:r>
        <w:rPr>
          <w:spacing w:val="-22"/>
          <w:w w:val="115"/>
        </w:rPr>
        <w:t> </w:t>
      </w:r>
      <w:r>
        <w:rPr>
          <w:w w:val="115"/>
        </w:rPr>
        <w:t>Bob</w:t>
      </w:r>
      <w:r>
        <w:rPr>
          <w:spacing w:val="-21"/>
          <w:w w:val="115"/>
        </w:rPr>
        <w:t> </w:t>
      </w:r>
      <w:r>
        <w:rPr>
          <w:w w:val="115"/>
        </w:rPr>
        <w:t>noted</w:t>
      </w:r>
      <w:r>
        <w:rPr>
          <w:spacing w:val="-22"/>
          <w:w w:val="115"/>
        </w:rPr>
        <w:t> </w:t>
      </w:r>
      <w:r>
        <w:rPr>
          <w:w w:val="115"/>
        </w:rPr>
        <w:t>that</w:t>
      </w:r>
      <w:r>
        <w:rPr>
          <w:spacing w:val="-21"/>
          <w:w w:val="115"/>
        </w:rPr>
        <w:t> </w:t>
      </w:r>
      <w:r>
        <w:rPr>
          <w:w w:val="115"/>
        </w:rPr>
        <w:t>we</w:t>
      </w:r>
      <w:r>
        <w:rPr>
          <w:spacing w:val="-22"/>
          <w:w w:val="115"/>
        </w:rPr>
        <w:t> </w:t>
      </w:r>
      <w:r>
        <w:rPr>
          <w:w w:val="115"/>
        </w:rPr>
        <w:t>would</w:t>
      </w:r>
      <w:r>
        <w:rPr>
          <w:spacing w:val="-21"/>
          <w:w w:val="115"/>
        </w:rPr>
        <w:t> </w:t>
      </w:r>
      <w:r>
        <w:rPr>
          <w:w w:val="115"/>
        </w:rPr>
        <w:t>follow</w:t>
      </w:r>
      <w:r>
        <w:rPr>
          <w:spacing w:val="-22"/>
          <w:w w:val="115"/>
        </w:rPr>
        <w:t> </w:t>
      </w:r>
      <w:r>
        <w:rPr>
          <w:w w:val="115"/>
        </w:rPr>
        <w:t>up</w:t>
      </w:r>
      <w:r>
        <w:rPr>
          <w:spacing w:val="-21"/>
          <w:w w:val="115"/>
        </w:rPr>
        <w:t> </w:t>
      </w:r>
      <w:r>
        <w:rPr>
          <w:w w:val="115"/>
        </w:rPr>
        <w:t>with</w:t>
      </w:r>
      <w:r>
        <w:rPr>
          <w:spacing w:val="-22"/>
          <w:w w:val="115"/>
        </w:rPr>
        <w:t> </w:t>
      </w:r>
      <w:r>
        <w:rPr>
          <w:w w:val="115"/>
        </w:rPr>
        <w:t>the</w:t>
      </w:r>
      <w:r>
        <w:rPr>
          <w:spacing w:val="-22"/>
          <w:w w:val="115"/>
        </w:rPr>
        <w:t> </w:t>
      </w:r>
      <w:r>
        <w:rPr>
          <w:w w:val="115"/>
        </w:rPr>
        <w:t>chair of</w:t>
      </w:r>
      <w:r>
        <w:rPr>
          <w:spacing w:val="-9"/>
          <w:w w:val="115"/>
        </w:rPr>
        <w:t> </w:t>
      </w:r>
      <w:r>
        <w:rPr>
          <w:w w:val="115"/>
        </w:rPr>
        <w:t>that</w:t>
      </w:r>
      <w:r>
        <w:rPr>
          <w:spacing w:val="-8"/>
          <w:w w:val="115"/>
        </w:rPr>
        <w:t> </w:t>
      </w:r>
      <w:r>
        <w:rPr>
          <w:w w:val="115"/>
        </w:rPr>
        <w:t>effort.</w:t>
      </w:r>
      <w:r>
        <w:rPr>
          <w:spacing w:val="45"/>
          <w:w w:val="115"/>
        </w:rPr>
        <w:t> </w:t>
      </w:r>
      <w:r>
        <w:rPr>
          <w:w w:val="115"/>
        </w:rPr>
        <w:t>Eric</w:t>
      </w:r>
      <w:r>
        <w:rPr>
          <w:spacing w:val="-8"/>
          <w:w w:val="115"/>
        </w:rPr>
        <w:t> </w:t>
      </w:r>
      <w:r>
        <w:rPr>
          <w:w w:val="115"/>
        </w:rPr>
        <w:t>Holshouser</w:t>
      </w:r>
      <w:r>
        <w:rPr>
          <w:spacing w:val="-8"/>
          <w:w w:val="115"/>
        </w:rPr>
        <w:t> </w:t>
      </w:r>
      <w:r>
        <w:rPr>
          <w:w w:val="115"/>
        </w:rPr>
        <w:t>requested</w:t>
      </w:r>
      <w:r>
        <w:rPr>
          <w:spacing w:val="-9"/>
          <w:w w:val="115"/>
        </w:rPr>
        <w:t> </w:t>
      </w:r>
      <w:r>
        <w:rPr>
          <w:w w:val="115"/>
        </w:rPr>
        <w:t>that</w:t>
      </w:r>
      <w:r>
        <w:rPr>
          <w:spacing w:val="-8"/>
          <w:w w:val="115"/>
        </w:rPr>
        <w:t> </w:t>
      </w:r>
      <w:r>
        <w:rPr>
          <w:w w:val="115"/>
        </w:rPr>
        <w:t>OSHA</w:t>
      </w:r>
      <w:r>
        <w:rPr>
          <w:spacing w:val="-8"/>
          <w:w w:val="115"/>
        </w:rPr>
        <w:t> </w:t>
      </w:r>
      <w:r>
        <w:rPr>
          <w:w w:val="115"/>
        </w:rPr>
        <w:t>be</w:t>
      </w:r>
      <w:r>
        <w:rPr>
          <w:spacing w:val="-8"/>
          <w:w w:val="115"/>
        </w:rPr>
        <w:t> </w:t>
      </w:r>
      <w:r>
        <w:rPr>
          <w:w w:val="115"/>
        </w:rPr>
        <w:t>included</w:t>
      </w:r>
      <w:r>
        <w:rPr>
          <w:spacing w:val="-9"/>
          <w:w w:val="115"/>
        </w:rPr>
        <w:t> </w:t>
      </w:r>
      <w:r>
        <w:rPr>
          <w:w w:val="115"/>
        </w:rPr>
        <w:t>in</w:t>
      </w:r>
      <w:r>
        <w:rPr>
          <w:spacing w:val="-8"/>
          <w:w w:val="115"/>
        </w:rPr>
        <w:t> </w:t>
      </w:r>
      <w:r>
        <w:rPr>
          <w:w w:val="115"/>
        </w:rPr>
        <w:t>the</w:t>
      </w:r>
      <w:r>
        <w:rPr>
          <w:spacing w:val="-8"/>
          <w:w w:val="115"/>
        </w:rPr>
        <w:t> </w:t>
      </w:r>
      <w:r>
        <w:rPr>
          <w:w w:val="115"/>
        </w:rPr>
        <w:t>Advanced Labor Topics Seminar.</w:t>
      </w:r>
      <w:r>
        <w:rPr>
          <w:spacing w:val="60"/>
          <w:w w:val="115"/>
        </w:rPr>
        <w:t> </w:t>
      </w:r>
      <w:r>
        <w:rPr>
          <w:w w:val="115"/>
        </w:rPr>
        <w:t>RobE suggested that the Section award a Bar Journal  article of the year at the annual convention.</w:t>
      </w:r>
      <w:r>
        <w:rPr>
          <w:spacing w:val="60"/>
          <w:w w:val="115"/>
        </w:rPr>
        <w:t> </w:t>
      </w:r>
      <w:r>
        <w:rPr>
          <w:w w:val="115"/>
        </w:rPr>
        <w:t>Chair Scott, in soliciting Checkoff articles, suggested that we use webinar materials (after the</w:t>
      </w:r>
      <w:r>
        <w:rPr>
          <w:spacing w:val="2"/>
          <w:w w:val="115"/>
        </w:rPr>
        <w:t> </w:t>
      </w:r>
      <w:r>
        <w:rPr>
          <w:w w:val="115"/>
        </w:rPr>
        <w:t>webinar).</w:t>
      </w:r>
    </w:p>
    <w:p>
      <w:pPr>
        <w:pStyle w:val="BodyText"/>
        <w:spacing w:before="5"/>
      </w:pPr>
    </w:p>
    <w:p>
      <w:pPr>
        <w:pStyle w:val="BodyText"/>
        <w:ind w:left="1160" w:right="1056" w:firstLine="360"/>
        <w:jc w:val="both"/>
      </w:pPr>
      <w:r>
        <w:rPr>
          <w:b/>
          <w:w w:val="110"/>
        </w:rPr>
        <w:t>Long Range Planning: </w:t>
      </w:r>
      <w:r>
        <w:rPr>
          <w:w w:val="110"/>
        </w:rPr>
        <w:t>Judge Kilbride stated that the Long Range Planning Committee had met and they were working on action items from the April retreat. He noted that the Administrative Law Section was, similarly to our Section,  looking</w:t>
      </w:r>
      <w:r>
        <w:rPr>
          <w:spacing w:val="14"/>
          <w:w w:val="110"/>
        </w:rPr>
        <w:t> </w:t>
      </w:r>
      <w:r>
        <w:rPr>
          <w:w w:val="110"/>
        </w:rPr>
        <w:t>into</w:t>
      </w:r>
      <w:r>
        <w:rPr>
          <w:spacing w:val="14"/>
          <w:w w:val="110"/>
        </w:rPr>
        <w:t> </w:t>
      </w:r>
      <w:r>
        <w:rPr>
          <w:w w:val="110"/>
        </w:rPr>
        <w:t>hosting</w:t>
      </w:r>
      <w:r>
        <w:rPr>
          <w:spacing w:val="14"/>
          <w:w w:val="110"/>
        </w:rPr>
        <w:t> </w:t>
      </w:r>
      <w:r>
        <w:rPr>
          <w:w w:val="110"/>
        </w:rPr>
        <w:t>a</w:t>
      </w:r>
      <w:r>
        <w:rPr>
          <w:spacing w:val="15"/>
          <w:w w:val="110"/>
        </w:rPr>
        <w:t> </w:t>
      </w:r>
      <w:r>
        <w:rPr>
          <w:w w:val="110"/>
        </w:rPr>
        <w:t>trial</w:t>
      </w:r>
      <w:r>
        <w:rPr>
          <w:spacing w:val="14"/>
          <w:w w:val="110"/>
        </w:rPr>
        <w:t> </w:t>
      </w:r>
      <w:r>
        <w:rPr>
          <w:w w:val="110"/>
        </w:rPr>
        <w:t>academy.</w:t>
      </w:r>
      <w:r>
        <w:rPr>
          <w:spacing w:val="29"/>
          <w:w w:val="110"/>
        </w:rPr>
        <w:t> </w:t>
      </w:r>
      <w:r>
        <w:rPr>
          <w:w w:val="110"/>
        </w:rPr>
        <w:t>He</w:t>
      </w:r>
      <w:r>
        <w:rPr>
          <w:spacing w:val="14"/>
          <w:w w:val="110"/>
        </w:rPr>
        <w:t> </w:t>
      </w:r>
      <w:r>
        <w:rPr>
          <w:w w:val="110"/>
        </w:rPr>
        <w:t>also</w:t>
      </w:r>
      <w:r>
        <w:rPr>
          <w:spacing w:val="14"/>
          <w:w w:val="110"/>
        </w:rPr>
        <w:t> </w:t>
      </w:r>
      <w:r>
        <w:rPr>
          <w:w w:val="110"/>
        </w:rPr>
        <w:t>noted</w:t>
      </w:r>
      <w:r>
        <w:rPr>
          <w:spacing w:val="15"/>
          <w:w w:val="110"/>
        </w:rPr>
        <w:t> </w:t>
      </w:r>
      <w:r>
        <w:rPr>
          <w:w w:val="110"/>
        </w:rPr>
        <w:t>that</w:t>
      </w:r>
      <w:r>
        <w:rPr>
          <w:spacing w:val="14"/>
          <w:w w:val="110"/>
        </w:rPr>
        <w:t> </w:t>
      </w:r>
      <w:r>
        <w:rPr>
          <w:w w:val="110"/>
        </w:rPr>
        <w:t>some</w:t>
      </w:r>
      <w:r>
        <w:rPr>
          <w:spacing w:val="14"/>
          <w:w w:val="110"/>
        </w:rPr>
        <w:t> </w:t>
      </w:r>
      <w:r>
        <w:rPr>
          <w:w w:val="110"/>
        </w:rPr>
        <w:t>work</w:t>
      </w:r>
      <w:r>
        <w:rPr>
          <w:spacing w:val="15"/>
          <w:w w:val="110"/>
        </w:rPr>
        <w:t> </w:t>
      </w:r>
      <w:r>
        <w:rPr>
          <w:w w:val="110"/>
        </w:rPr>
        <w:t>on</w:t>
      </w:r>
      <w:r>
        <w:rPr>
          <w:spacing w:val="14"/>
          <w:w w:val="110"/>
        </w:rPr>
        <w:t> </w:t>
      </w:r>
      <w:r>
        <w:rPr>
          <w:w w:val="110"/>
        </w:rPr>
        <w:t>the</w:t>
      </w:r>
    </w:p>
    <w:p>
      <w:pPr>
        <w:spacing w:after="0"/>
        <w:jc w:val="both"/>
        <w:sectPr>
          <w:pgSz w:w="12240" w:h="15840"/>
          <w:pgMar w:header="0" w:footer="523" w:top="1360" w:bottom="720" w:left="280" w:right="380"/>
        </w:sectPr>
      </w:pPr>
    </w:p>
    <w:p>
      <w:pPr>
        <w:pStyle w:val="BodyText"/>
        <w:spacing w:before="77"/>
        <w:ind w:left="1160" w:right="1056"/>
        <w:jc w:val="both"/>
      </w:pPr>
      <w:r>
        <w:rPr>
          <w:w w:val="115"/>
        </w:rPr>
        <w:t>Section’s new phone system was necessary (we think that’s what he said—he was appearing by phone). He also announced that the Section archiving project was underway, led by</w:t>
      </w:r>
      <w:r>
        <w:rPr>
          <w:spacing w:val="59"/>
          <w:w w:val="115"/>
        </w:rPr>
        <w:t> </w:t>
      </w:r>
      <w:r>
        <w:rPr>
          <w:w w:val="115"/>
        </w:rPr>
        <w:t>RobE.</w:t>
      </w:r>
    </w:p>
    <w:p>
      <w:pPr>
        <w:pStyle w:val="BodyText"/>
        <w:spacing w:before="3"/>
      </w:pPr>
    </w:p>
    <w:p>
      <w:pPr>
        <w:pStyle w:val="BodyText"/>
        <w:ind w:left="1160" w:right="1055" w:firstLine="360"/>
        <w:jc w:val="both"/>
      </w:pPr>
      <w:r>
        <w:rPr>
          <w:w w:val="115"/>
        </w:rPr>
        <w:t>The</w:t>
      </w:r>
      <w:r>
        <w:rPr>
          <w:spacing w:val="-7"/>
          <w:w w:val="115"/>
        </w:rPr>
        <w:t> </w:t>
      </w:r>
      <w:r>
        <w:rPr>
          <w:w w:val="115"/>
        </w:rPr>
        <w:t>aforementioned</w:t>
      </w:r>
      <w:r>
        <w:rPr>
          <w:spacing w:val="-5"/>
          <w:w w:val="115"/>
        </w:rPr>
        <w:t> </w:t>
      </w:r>
      <w:r>
        <w:rPr>
          <w:w w:val="115"/>
        </w:rPr>
        <w:t>RobE</w:t>
      </w:r>
      <w:r>
        <w:rPr>
          <w:spacing w:val="-7"/>
          <w:w w:val="115"/>
        </w:rPr>
        <w:t> </w:t>
      </w:r>
      <w:r>
        <w:rPr>
          <w:w w:val="115"/>
        </w:rPr>
        <w:t>reported</w:t>
      </w:r>
      <w:r>
        <w:rPr>
          <w:spacing w:val="-6"/>
          <w:w w:val="115"/>
        </w:rPr>
        <w:t> </w:t>
      </w:r>
      <w:r>
        <w:rPr>
          <w:w w:val="115"/>
        </w:rPr>
        <w:t>that,</w:t>
      </w:r>
      <w:r>
        <w:rPr>
          <w:spacing w:val="-7"/>
          <w:w w:val="115"/>
        </w:rPr>
        <w:t> </w:t>
      </w:r>
      <w:r>
        <w:rPr>
          <w:w w:val="115"/>
        </w:rPr>
        <w:t>as</w:t>
      </w:r>
      <w:r>
        <w:rPr>
          <w:spacing w:val="-7"/>
          <w:w w:val="115"/>
        </w:rPr>
        <w:t> </w:t>
      </w:r>
      <w:r>
        <w:rPr>
          <w:w w:val="115"/>
        </w:rPr>
        <w:t>part</w:t>
      </w:r>
      <w:r>
        <w:rPr>
          <w:spacing w:val="-6"/>
          <w:w w:val="115"/>
        </w:rPr>
        <w:t> </w:t>
      </w:r>
      <w:r>
        <w:rPr>
          <w:w w:val="115"/>
        </w:rPr>
        <w:t>of</w:t>
      </w:r>
      <w:r>
        <w:rPr>
          <w:spacing w:val="-7"/>
          <w:w w:val="115"/>
        </w:rPr>
        <w:t> </w:t>
      </w:r>
      <w:r>
        <w:rPr>
          <w:w w:val="115"/>
        </w:rPr>
        <w:t>the</w:t>
      </w:r>
      <w:r>
        <w:rPr>
          <w:spacing w:val="-7"/>
          <w:w w:val="115"/>
        </w:rPr>
        <w:t> </w:t>
      </w:r>
      <w:r>
        <w:rPr>
          <w:w w:val="115"/>
        </w:rPr>
        <w:t>archiving</w:t>
      </w:r>
      <w:r>
        <w:rPr>
          <w:spacing w:val="-7"/>
          <w:w w:val="115"/>
        </w:rPr>
        <w:t> </w:t>
      </w:r>
      <w:r>
        <w:rPr>
          <w:w w:val="115"/>
        </w:rPr>
        <w:t>project,</w:t>
      </w:r>
      <w:r>
        <w:rPr>
          <w:spacing w:val="-6"/>
          <w:w w:val="115"/>
        </w:rPr>
        <w:t> </w:t>
      </w:r>
      <w:r>
        <w:rPr>
          <w:w w:val="115"/>
        </w:rPr>
        <w:t>he’s looking at Section EC votes of historical significance.</w:t>
      </w:r>
      <w:r>
        <w:rPr>
          <w:spacing w:val="60"/>
          <w:w w:val="115"/>
        </w:rPr>
        <w:t> </w:t>
      </w:r>
      <w:r>
        <w:rPr>
          <w:w w:val="115"/>
        </w:rPr>
        <w:t>He observed there were votes to create a listserve, followed by votes to kill the listserve, and arguments made to spend more and have more retreats. He noted the absence of minutes with respect to “one-off” decisions and retreats. He also recounted the Cynthia Sass</w:t>
      </w:r>
      <w:r>
        <w:rPr>
          <w:spacing w:val="-18"/>
          <w:w w:val="115"/>
        </w:rPr>
        <w:t> </w:t>
      </w:r>
      <w:r>
        <w:rPr>
          <w:w w:val="115"/>
        </w:rPr>
        <w:t>Rosen</w:t>
      </w:r>
      <w:r>
        <w:rPr>
          <w:spacing w:val="-18"/>
          <w:w w:val="115"/>
        </w:rPr>
        <w:t> </w:t>
      </w:r>
      <w:r>
        <w:rPr>
          <w:w w:val="115"/>
        </w:rPr>
        <w:t>Centre/Rosen</w:t>
      </w:r>
      <w:r>
        <w:rPr>
          <w:spacing w:val="-18"/>
          <w:w w:val="115"/>
        </w:rPr>
        <w:t> </w:t>
      </w:r>
      <w:r>
        <w:rPr>
          <w:w w:val="115"/>
        </w:rPr>
        <w:t>Plaza</w:t>
      </w:r>
      <w:r>
        <w:rPr>
          <w:spacing w:val="-18"/>
          <w:w w:val="115"/>
        </w:rPr>
        <w:t> </w:t>
      </w:r>
      <w:r>
        <w:rPr>
          <w:w w:val="115"/>
        </w:rPr>
        <w:t>adventure</w:t>
      </w:r>
      <w:r>
        <w:rPr>
          <w:spacing w:val="-17"/>
          <w:w w:val="115"/>
        </w:rPr>
        <w:t> </w:t>
      </w:r>
      <w:r>
        <w:rPr>
          <w:w w:val="115"/>
        </w:rPr>
        <w:t>narrative</w:t>
      </w:r>
      <w:r>
        <w:rPr>
          <w:spacing w:val="-17"/>
          <w:w w:val="115"/>
        </w:rPr>
        <w:t> </w:t>
      </w:r>
      <w:r>
        <w:rPr>
          <w:w w:val="115"/>
        </w:rPr>
        <w:t>which</w:t>
      </w:r>
      <w:r>
        <w:rPr>
          <w:spacing w:val="-18"/>
          <w:w w:val="115"/>
        </w:rPr>
        <w:t> </w:t>
      </w:r>
      <w:r>
        <w:rPr>
          <w:w w:val="115"/>
        </w:rPr>
        <w:t>was</w:t>
      </w:r>
      <w:r>
        <w:rPr>
          <w:spacing w:val="-18"/>
          <w:w w:val="115"/>
        </w:rPr>
        <w:t> </w:t>
      </w:r>
      <w:r>
        <w:rPr>
          <w:w w:val="115"/>
        </w:rPr>
        <w:t>discovered</w:t>
      </w:r>
      <w:r>
        <w:rPr>
          <w:spacing w:val="-18"/>
          <w:w w:val="115"/>
        </w:rPr>
        <w:t> </w:t>
      </w:r>
      <w:r>
        <w:rPr>
          <w:w w:val="115"/>
        </w:rPr>
        <w:t>in</w:t>
      </w:r>
      <w:r>
        <w:rPr>
          <w:spacing w:val="-18"/>
          <w:w w:val="115"/>
        </w:rPr>
        <w:t> </w:t>
      </w:r>
      <w:r>
        <w:rPr>
          <w:w w:val="115"/>
        </w:rPr>
        <w:t>the Section minutes.</w:t>
      </w:r>
      <w:r>
        <w:rPr>
          <w:spacing w:val="60"/>
          <w:w w:val="115"/>
        </w:rPr>
        <w:t> </w:t>
      </w:r>
      <w:r>
        <w:rPr>
          <w:w w:val="115"/>
        </w:rPr>
        <w:t>Finally, he suggested that the Section’s Secretary/Treasurer be</w:t>
      </w:r>
      <w:r>
        <w:rPr>
          <w:spacing w:val="12"/>
          <w:w w:val="115"/>
        </w:rPr>
        <w:t> </w:t>
      </w:r>
      <w:r>
        <w:rPr>
          <w:w w:val="115"/>
        </w:rPr>
        <w:t>responsible</w:t>
      </w:r>
      <w:r>
        <w:rPr>
          <w:spacing w:val="12"/>
          <w:w w:val="115"/>
        </w:rPr>
        <w:t> </w:t>
      </w:r>
      <w:r>
        <w:rPr>
          <w:w w:val="115"/>
        </w:rPr>
        <w:t>in</w:t>
      </w:r>
      <w:r>
        <w:rPr>
          <w:spacing w:val="14"/>
          <w:w w:val="115"/>
        </w:rPr>
        <w:t> </w:t>
      </w:r>
      <w:r>
        <w:rPr>
          <w:w w:val="115"/>
        </w:rPr>
        <w:t>the</w:t>
      </w:r>
      <w:r>
        <w:rPr>
          <w:spacing w:val="13"/>
          <w:w w:val="115"/>
        </w:rPr>
        <w:t> </w:t>
      </w:r>
      <w:r>
        <w:rPr>
          <w:w w:val="115"/>
        </w:rPr>
        <w:t>future</w:t>
      </w:r>
      <w:r>
        <w:rPr>
          <w:spacing w:val="14"/>
          <w:w w:val="115"/>
        </w:rPr>
        <w:t> </w:t>
      </w:r>
      <w:r>
        <w:rPr>
          <w:w w:val="115"/>
        </w:rPr>
        <w:t>for</w:t>
      </w:r>
      <w:r>
        <w:rPr>
          <w:spacing w:val="13"/>
          <w:w w:val="115"/>
        </w:rPr>
        <w:t> </w:t>
      </w:r>
      <w:r>
        <w:rPr>
          <w:w w:val="115"/>
        </w:rPr>
        <w:t>updating</w:t>
      </w:r>
      <w:r>
        <w:rPr>
          <w:spacing w:val="12"/>
          <w:w w:val="115"/>
        </w:rPr>
        <w:t> </w:t>
      </w:r>
      <w:r>
        <w:rPr>
          <w:w w:val="115"/>
        </w:rPr>
        <w:t>the</w:t>
      </w:r>
      <w:r>
        <w:rPr>
          <w:spacing w:val="14"/>
          <w:w w:val="115"/>
        </w:rPr>
        <w:t> </w:t>
      </w:r>
      <w:r>
        <w:rPr>
          <w:w w:val="115"/>
        </w:rPr>
        <w:t>Archives.</w:t>
      </w:r>
    </w:p>
    <w:p>
      <w:pPr>
        <w:pStyle w:val="BodyText"/>
        <w:spacing w:before="2"/>
      </w:pPr>
    </w:p>
    <w:p>
      <w:pPr>
        <w:pStyle w:val="BodyText"/>
        <w:ind w:left="1159" w:right="1051" w:firstLine="360"/>
        <w:jc w:val="both"/>
      </w:pPr>
      <w:r>
        <w:rPr>
          <w:b/>
          <w:w w:val="115"/>
        </w:rPr>
        <w:t>Special Projects: </w:t>
      </w:r>
      <w:r>
        <w:rPr>
          <w:w w:val="115"/>
        </w:rPr>
        <w:t>RAAC Chairman Brown thanked RobE for undertaking the archiving project. He then pivoted to</w:t>
      </w:r>
      <w:r>
        <w:rPr>
          <w:spacing w:val="60"/>
          <w:w w:val="115"/>
        </w:rPr>
        <w:t> </w:t>
      </w:r>
      <w:r>
        <w:rPr>
          <w:w w:val="115"/>
        </w:rPr>
        <w:t>discussion of the  Section’s Annual Certification Review and Update Seminar, which included his Memorandum reporting on an October 18, 2018 teleconference of the Ad Hoc Committee on Update/Certification</w:t>
      </w:r>
      <w:r>
        <w:rPr>
          <w:spacing w:val="-28"/>
          <w:w w:val="115"/>
        </w:rPr>
        <w:t> </w:t>
      </w:r>
      <w:r>
        <w:rPr>
          <w:w w:val="115"/>
        </w:rPr>
        <w:t>Review</w:t>
      </w:r>
      <w:r>
        <w:rPr>
          <w:spacing w:val="-27"/>
          <w:w w:val="115"/>
        </w:rPr>
        <w:t> </w:t>
      </w:r>
      <w:r>
        <w:rPr>
          <w:w w:val="115"/>
        </w:rPr>
        <w:t>Seminar</w:t>
      </w:r>
      <w:r>
        <w:rPr>
          <w:spacing w:val="-27"/>
          <w:w w:val="115"/>
        </w:rPr>
        <w:t> </w:t>
      </w:r>
      <w:r>
        <w:rPr>
          <w:w w:val="115"/>
        </w:rPr>
        <w:t>(</w:t>
      </w:r>
      <w:r>
        <w:rPr>
          <w:rFonts w:ascii="Georgia" w:hAnsi="Georgia"/>
          <w:i/>
          <w:w w:val="115"/>
        </w:rPr>
        <w:t>Agenda</w:t>
      </w:r>
      <w:r>
        <w:rPr>
          <w:rFonts w:ascii="Georgia" w:hAnsi="Georgia"/>
          <w:i/>
          <w:spacing w:val="-37"/>
          <w:w w:val="115"/>
        </w:rPr>
        <w:t> </w:t>
      </w:r>
      <w:r>
        <w:rPr>
          <w:rFonts w:ascii="Georgia" w:hAnsi="Georgia"/>
          <w:i/>
          <w:w w:val="115"/>
        </w:rPr>
        <w:t>Attachment</w:t>
      </w:r>
      <w:r>
        <w:rPr>
          <w:rFonts w:ascii="Georgia" w:hAnsi="Georgia"/>
          <w:i/>
          <w:spacing w:val="-35"/>
          <w:w w:val="115"/>
        </w:rPr>
        <w:t> </w:t>
      </w:r>
      <w:r>
        <w:rPr>
          <w:rFonts w:ascii="Georgia" w:hAnsi="Georgia"/>
          <w:i/>
          <w:w w:val="115"/>
        </w:rPr>
        <w:t>E</w:t>
      </w:r>
      <w:r>
        <w:rPr>
          <w:w w:val="115"/>
        </w:rPr>
        <w:t>).</w:t>
      </w:r>
      <w:r>
        <w:rPr>
          <w:spacing w:val="7"/>
          <w:w w:val="115"/>
        </w:rPr>
        <w:t> </w:t>
      </w:r>
      <w:r>
        <w:rPr>
          <w:w w:val="115"/>
        </w:rPr>
        <w:t>Chairman</w:t>
      </w:r>
      <w:r>
        <w:rPr>
          <w:spacing w:val="-27"/>
          <w:w w:val="115"/>
        </w:rPr>
        <w:t> </w:t>
      </w:r>
      <w:r>
        <w:rPr>
          <w:w w:val="115"/>
        </w:rPr>
        <w:t>Brown expressed an interest in the course providing information necessary for individuals preparing to take the Certification Exam.</w:t>
      </w:r>
      <w:r>
        <w:rPr>
          <w:spacing w:val="60"/>
          <w:w w:val="115"/>
        </w:rPr>
        <w:t> </w:t>
      </w:r>
      <w:r>
        <w:rPr>
          <w:w w:val="115"/>
        </w:rPr>
        <w:t>Leslie Langbein enquired as to how many people sit for the Exam.</w:t>
      </w:r>
      <w:r>
        <w:rPr>
          <w:spacing w:val="60"/>
          <w:w w:val="115"/>
        </w:rPr>
        <w:t> </w:t>
      </w:r>
      <w:r>
        <w:rPr>
          <w:w w:val="115"/>
        </w:rPr>
        <w:t>Robyn Hankins answered about 9-14 per year and suggested that a mentoring program might be appropriate.</w:t>
      </w:r>
      <w:r>
        <w:rPr>
          <w:spacing w:val="60"/>
          <w:w w:val="115"/>
        </w:rPr>
        <w:t> </w:t>
      </w:r>
      <w:r>
        <w:rPr>
          <w:w w:val="115"/>
        </w:rPr>
        <w:t>RobE noted there has been a lot of discussion regarding the purpose of this seminar,</w:t>
      </w:r>
      <w:r>
        <w:rPr>
          <w:spacing w:val="60"/>
          <w:w w:val="115"/>
        </w:rPr>
        <w:t> </w:t>
      </w:r>
      <w:r>
        <w:rPr>
          <w:w w:val="115"/>
        </w:rPr>
        <w:t>and we shouldn’t overplay the focus on the exam takers or underplay the focus on individuals seeing an extensive review course.</w:t>
      </w:r>
      <w:r>
        <w:rPr>
          <w:spacing w:val="60"/>
          <w:w w:val="115"/>
        </w:rPr>
        <w:t> </w:t>
      </w:r>
      <w:r>
        <w:rPr>
          <w:w w:val="115"/>
        </w:rPr>
        <w:t>Robyn expressed her belief  that</w:t>
      </w:r>
      <w:r>
        <w:rPr>
          <w:spacing w:val="-19"/>
          <w:w w:val="115"/>
        </w:rPr>
        <w:t> </w:t>
      </w:r>
      <w:r>
        <w:rPr>
          <w:w w:val="115"/>
        </w:rPr>
        <w:t>it</w:t>
      </w:r>
      <w:r>
        <w:rPr>
          <w:spacing w:val="-18"/>
          <w:w w:val="115"/>
        </w:rPr>
        <w:t> </w:t>
      </w:r>
      <w:r>
        <w:rPr>
          <w:w w:val="115"/>
        </w:rPr>
        <w:t>was</w:t>
      </w:r>
      <w:r>
        <w:rPr>
          <w:spacing w:val="-19"/>
          <w:w w:val="115"/>
        </w:rPr>
        <w:t> </w:t>
      </w:r>
      <w:r>
        <w:rPr>
          <w:w w:val="115"/>
        </w:rPr>
        <w:t>important</w:t>
      </w:r>
      <w:r>
        <w:rPr>
          <w:spacing w:val="-20"/>
          <w:w w:val="115"/>
        </w:rPr>
        <w:t> </w:t>
      </w:r>
      <w:r>
        <w:rPr>
          <w:w w:val="115"/>
        </w:rPr>
        <w:t>to</w:t>
      </w:r>
      <w:r>
        <w:rPr>
          <w:spacing w:val="-19"/>
          <w:w w:val="115"/>
        </w:rPr>
        <w:t> </w:t>
      </w:r>
      <w:r>
        <w:rPr>
          <w:w w:val="115"/>
        </w:rPr>
        <w:t>consult</w:t>
      </w:r>
      <w:r>
        <w:rPr>
          <w:spacing w:val="-18"/>
          <w:w w:val="115"/>
        </w:rPr>
        <w:t> </w:t>
      </w:r>
      <w:r>
        <w:rPr>
          <w:w w:val="115"/>
        </w:rPr>
        <w:t>with</w:t>
      </w:r>
      <w:r>
        <w:rPr>
          <w:spacing w:val="-21"/>
          <w:w w:val="115"/>
        </w:rPr>
        <w:t> </w:t>
      </w:r>
      <w:r>
        <w:rPr>
          <w:w w:val="115"/>
        </w:rPr>
        <w:t>one</w:t>
      </w:r>
      <w:r>
        <w:rPr>
          <w:spacing w:val="-18"/>
          <w:w w:val="115"/>
        </w:rPr>
        <w:t> </w:t>
      </w:r>
      <w:r>
        <w:rPr>
          <w:w w:val="115"/>
        </w:rPr>
        <w:t>of</w:t>
      </w:r>
      <w:r>
        <w:rPr>
          <w:spacing w:val="-19"/>
          <w:w w:val="115"/>
        </w:rPr>
        <w:t> </w:t>
      </w:r>
      <w:r>
        <w:rPr>
          <w:w w:val="115"/>
        </w:rPr>
        <w:t>the</w:t>
      </w:r>
      <w:r>
        <w:rPr>
          <w:spacing w:val="-18"/>
          <w:w w:val="115"/>
        </w:rPr>
        <w:t> </w:t>
      </w:r>
      <w:r>
        <w:rPr>
          <w:w w:val="115"/>
        </w:rPr>
        <w:t>Certification</w:t>
      </w:r>
      <w:r>
        <w:rPr>
          <w:spacing w:val="-21"/>
          <w:w w:val="115"/>
        </w:rPr>
        <w:t> </w:t>
      </w:r>
      <w:r>
        <w:rPr>
          <w:w w:val="115"/>
        </w:rPr>
        <w:t>Committee</w:t>
      </w:r>
      <w:r>
        <w:rPr>
          <w:spacing w:val="-18"/>
          <w:w w:val="115"/>
        </w:rPr>
        <w:t> </w:t>
      </w:r>
      <w:r>
        <w:rPr>
          <w:w w:val="115"/>
        </w:rPr>
        <w:t>members and do a better job of marketing this seminar. Chair Scott thanked the committee and suggested that the Update/Certification Review co-chairs take the</w:t>
      </w:r>
      <w:r>
        <w:rPr>
          <w:spacing w:val="12"/>
          <w:w w:val="115"/>
        </w:rPr>
        <w:t> </w:t>
      </w:r>
      <w:r>
        <w:rPr>
          <w:w w:val="115"/>
        </w:rPr>
        <w:t>lead</w:t>
      </w:r>
      <w:r>
        <w:rPr>
          <w:spacing w:val="12"/>
          <w:w w:val="115"/>
        </w:rPr>
        <w:t> </w:t>
      </w:r>
      <w:r>
        <w:rPr>
          <w:w w:val="115"/>
        </w:rPr>
        <w:t>on</w:t>
      </w:r>
      <w:r>
        <w:rPr>
          <w:spacing w:val="11"/>
          <w:w w:val="115"/>
        </w:rPr>
        <w:t> </w:t>
      </w:r>
      <w:r>
        <w:rPr>
          <w:w w:val="115"/>
        </w:rPr>
        <w:t>implementing</w:t>
      </w:r>
      <w:r>
        <w:rPr>
          <w:spacing w:val="12"/>
          <w:w w:val="115"/>
        </w:rPr>
        <w:t> </w:t>
      </w:r>
      <w:r>
        <w:rPr>
          <w:w w:val="115"/>
        </w:rPr>
        <w:t>the</w:t>
      </w:r>
      <w:r>
        <w:rPr>
          <w:spacing w:val="13"/>
          <w:w w:val="115"/>
        </w:rPr>
        <w:t> </w:t>
      </w:r>
      <w:r>
        <w:rPr>
          <w:w w:val="115"/>
        </w:rPr>
        <w:t>Ad</w:t>
      </w:r>
      <w:r>
        <w:rPr>
          <w:spacing w:val="11"/>
          <w:w w:val="115"/>
        </w:rPr>
        <w:t> </w:t>
      </w:r>
      <w:r>
        <w:rPr>
          <w:w w:val="115"/>
        </w:rPr>
        <w:t>hoc</w:t>
      </w:r>
      <w:r>
        <w:rPr>
          <w:spacing w:val="11"/>
          <w:w w:val="115"/>
        </w:rPr>
        <w:t> </w:t>
      </w:r>
      <w:r>
        <w:rPr>
          <w:w w:val="115"/>
        </w:rPr>
        <w:t>Committee’s</w:t>
      </w:r>
      <w:r>
        <w:rPr>
          <w:spacing w:val="12"/>
          <w:w w:val="115"/>
        </w:rPr>
        <w:t> </w:t>
      </w:r>
      <w:r>
        <w:rPr>
          <w:w w:val="115"/>
        </w:rPr>
        <w:t>proposals.</w:t>
      </w:r>
    </w:p>
    <w:p>
      <w:pPr>
        <w:pStyle w:val="BodyText"/>
        <w:spacing w:before="7"/>
      </w:pPr>
    </w:p>
    <w:p>
      <w:pPr>
        <w:pStyle w:val="BodyText"/>
        <w:ind w:left="1160" w:right="1056" w:firstLine="360"/>
        <w:jc w:val="both"/>
      </w:pPr>
      <w:r>
        <w:rPr>
          <w:b/>
          <w:w w:val="115"/>
        </w:rPr>
        <w:t>Wage &amp; Hour Subcommittee:</w:t>
      </w:r>
      <w:r>
        <w:rPr>
          <w:b/>
          <w:spacing w:val="60"/>
          <w:w w:val="115"/>
        </w:rPr>
        <w:t> </w:t>
      </w:r>
      <w:r>
        <w:rPr>
          <w:w w:val="115"/>
        </w:rPr>
        <w:t>Robyn provided the Subcommittee report. She noted that the FLSA analysis project is evolving and help is needed on this</w:t>
      </w:r>
      <w:r>
        <w:rPr>
          <w:spacing w:val="60"/>
          <w:w w:val="115"/>
        </w:rPr>
        <w:t> </w:t>
      </w:r>
      <w:r>
        <w:rPr>
          <w:w w:val="115"/>
        </w:rPr>
        <w:t>project. Leslie Langbein offered to co-chair the subcommittee with Jay Lechner and Leslie noted that the Florida Bar has surveyed judges regarding their practices and procedures and that the survey is inaccurate and out of date. Robyn responded that the subcommittee has more up-to-date information and the subcommittee will continue to update.</w:t>
      </w:r>
      <w:r>
        <w:rPr>
          <w:spacing w:val="60"/>
          <w:w w:val="115"/>
        </w:rPr>
        <w:t> </w:t>
      </w:r>
      <w:r>
        <w:rPr>
          <w:w w:val="115"/>
        </w:rPr>
        <w:t>Chair Scott suggested that section members receive this information by email.</w:t>
      </w:r>
    </w:p>
    <w:p>
      <w:pPr>
        <w:pStyle w:val="BodyText"/>
        <w:spacing w:before="2"/>
      </w:pPr>
    </w:p>
    <w:p>
      <w:pPr>
        <w:pStyle w:val="BodyText"/>
        <w:ind w:left="1159" w:right="1055" w:firstLine="360"/>
        <w:jc w:val="both"/>
      </w:pPr>
      <w:r>
        <w:rPr>
          <w:b/>
          <w:w w:val="115"/>
        </w:rPr>
        <w:t>Website</w:t>
      </w:r>
      <w:r>
        <w:rPr>
          <w:b/>
          <w:spacing w:val="-24"/>
          <w:w w:val="115"/>
        </w:rPr>
        <w:t> </w:t>
      </w:r>
      <w:r>
        <w:rPr>
          <w:b/>
          <w:w w:val="115"/>
        </w:rPr>
        <w:t>Subcommittee:</w:t>
      </w:r>
      <w:r>
        <w:rPr>
          <w:b/>
          <w:spacing w:val="15"/>
          <w:w w:val="115"/>
        </w:rPr>
        <w:t> </w:t>
      </w:r>
      <w:r>
        <w:rPr>
          <w:w w:val="115"/>
        </w:rPr>
        <w:t>Brian</w:t>
      </w:r>
      <w:r>
        <w:rPr>
          <w:spacing w:val="-24"/>
          <w:w w:val="115"/>
        </w:rPr>
        <w:t> </w:t>
      </w:r>
      <w:r>
        <w:rPr>
          <w:w w:val="115"/>
        </w:rPr>
        <w:t>Lerner</w:t>
      </w:r>
      <w:r>
        <w:rPr>
          <w:spacing w:val="-25"/>
          <w:w w:val="115"/>
        </w:rPr>
        <w:t> </w:t>
      </w:r>
      <w:r>
        <w:rPr>
          <w:w w:val="115"/>
        </w:rPr>
        <w:t>reported</w:t>
      </w:r>
      <w:r>
        <w:rPr>
          <w:spacing w:val="-24"/>
          <w:w w:val="115"/>
        </w:rPr>
        <w:t> </w:t>
      </w:r>
      <w:r>
        <w:rPr>
          <w:w w:val="115"/>
        </w:rPr>
        <w:t>that</w:t>
      </w:r>
      <w:r>
        <w:rPr>
          <w:spacing w:val="-25"/>
          <w:w w:val="115"/>
        </w:rPr>
        <w:t> </w:t>
      </w:r>
      <w:r>
        <w:rPr>
          <w:w w:val="115"/>
        </w:rPr>
        <w:t>he</w:t>
      </w:r>
      <w:r>
        <w:rPr>
          <w:spacing w:val="-24"/>
          <w:w w:val="115"/>
        </w:rPr>
        <w:t> </w:t>
      </w:r>
      <w:r>
        <w:rPr>
          <w:w w:val="115"/>
        </w:rPr>
        <w:t>initiated</w:t>
      </w:r>
      <w:r>
        <w:rPr>
          <w:spacing w:val="-25"/>
          <w:w w:val="115"/>
        </w:rPr>
        <w:t> </w:t>
      </w:r>
      <w:r>
        <w:rPr>
          <w:w w:val="115"/>
        </w:rPr>
        <w:t>a</w:t>
      </w:r>
      <w:r>
        <w:rPr>
          <w:spacing w:val="-24"/>
          <w:w w:val="115"/>
        </w:rPr>
        <w:t> </w:t>
      </w:r>
      <w:r>
        <w:rPr>
          <w:w w:val="115"/>
        </w:rPr>
        <w:t>conference call of the subcommittee to answer any questions the Executive Council may have</w:t>
      </w:r>
      <w:r>
        <w:rPr>
          <w:spacing w:val="-19"/>
          <w:w w:val="115"/>
        </w:rPr>
        <w:t> </w:t>
      </w:r>
      <w:r>
        <w:rPr>
          <w:w w:val="115"/>
        </w:rPr>
        <w:t>regarding</w:t>
      </w:r>
      <w:r>
        <w:rPr>
          <w:spacing w:val="-18"/>
          <w:w w:val="115"/>
        </w:rPr>
        <w:t> </w:t>
      </w:r>
      <w:r>
        <w:rPr>
          <w:w w:val="115"/>
        </w:rPr>
        <w:t>vendor</w:t>
      </w:r>
      <w:r>
        <w:rPr>
          <w:spacing w:val="-18"/>
          <w:w w:val="115"/>
        </w:rPr>
        <w:t> </w:t>
      </w:r>
      <w:r>
        <w:rPr>
          <w:w w:val="115"/>
        </w:rPr>
        <w:t>proposals</w:t>
      </w:r>
      <w:r>
        <w:rPr>
          <w:spacing w:val="-18"/>
          <w:w w:val="115"/>
        </w:rPr>
        <w:t> </w:t>
      </w:r>
      <w:r>
        <w:rPr>
          <w:w w:val="115"/>
        </w:rPr>
        <w:t>to</w:t>
      </w:r>
      <w:r>
        <w:rPr>
          <w:spacing w:val="-18"/>
          <w:w w:val="115"/>
        </w:rPr>
        <w:t> </w:t>
      </w:r>
      <w:r>
        <w:rPr>
          <w:w w:val="115"/>
        </w:rPr>
        <w:t>update</w:t>
      </w:r>
      <w:r>
        <w:rPr>
          <w:spacing w:val="-18"/>
          <w:w w:val="115"/>
        </w:rPr>
        <w:t> </w:t>
      </w:r>
      <w:r>
        <w:rPr>
          <w:w w:val="115"/>
        </w:rPr>
        <w:t>and</w:t>
      </w:r>
      <w:r>
        <w:rPr>
          <w:spacing w:val="-18"/>
          <w:w w:val="115"/>
        </w:rPr>
        <w:t> </w:t>
      </w:r>
      <w:r>
        <w:rPr>
          <w:w w:val="115"/>
        </w:rPr>
        <w:t>administer</w:t>
      </w:r>
      <w:r>
        <w:rPr>
          <w:spacing w:val="-18"/>
          <w:w w:val="115"/>
        </w:rPr>
        <w:t> </w:t>
      </w:r>
      <w:r>
        <w:rPr>
          <w:w w:val="115"/>
        </w:rPr>
        <w:t>the</w:t>
      </w:r>
      <w:r>
        <w:rPr>
          <w:spacing w:val="-19"/>
          <w:w w:val="115"/>
        </w:rPr>
        <w:t> </w:t>
      </w:r>
      <w:r>
        <w:rPr>
          <w:w w:val="115"/>
        </w:rPr>
        <w:t>Section’s</w:t>
      </w:r>
      <w:r>
        <w:rPr>
          <w:spacing w:val="-18"/>
          <w:w w:val="115"/>
        </w:rPr>
        <w:t> </w:t>
      </w:r>
      <w:r>
        <w:rPr>
          <w:w w:val="115"/>
        </w:rPr>
        <w:t>website. Proposals ranged from $3000 to $20000. At the high end was a vendor</w:t>
      </w:r>
      <w:r>
        <w:rPr>
          <w:spacing w:val="60"/>
          <w:w w:val="115"/>
        </w:rPr>
        <w:t> </w:t>
      </w:r>
      <w:r>
        <w:rPr>
          <w:w w:val="115"/>
        </w:rPr>
        <w:t>associated with The Florida Bar. Our current vendor made a bid of $6500</w:t>
      </w:r>
      <w:r>
        <w:rPr>
          <w:spacing w:val="-31"/>
          <w:w w:val="115"/>
        </w:rPr>
        <w:t> </w:t>
      </w:r>
      <w:r>
        <w:rPr>
          <w:w w:val="115"/>
        </w:rPr>
        <w:t>which Brian characterized as in the mid-low range of bids.</w:t>
      </w:r>
      <w:r>
        <w:rPr>
          <w:spacing w:val="60"/>
          <w:w w:val="115"/>
        </w:rPr>
        <w:t> </w:t>
      </w:r>
      <w:r>
        <w:rPr>
          <w:w w:val="115"/>
        </w:rPr>
        <w:t>Brian stated that Elyk provides</w:t>
      </w:r>
      <w:r>
        <w:rPr>
          <w:spacing w:val="6"/>
          <w:w w:val="115"/>
        </w:rPr>
        <w:t> </w:t>
      </w:r>
      <w:r>
        <w:rPr>
          <w:w w:val="115"/>
        </w:rPr>
        <w:t>good</w:t>
      </w:r>
      <w:r>
        <w:rPr>
          <w:spacing w:val="6"/>
          <w:w w:val="115"/>
        </w:rPr>
        <w:t> </w:t>
      </w:r>
      <w:r>
        <w:rPr>
          <w:w w:val="115"/>
        </w:rPr>
        <w:t>options</w:t>
      </w:r>
      <w:r>
        <w:rPr>
          <w:spacing w:val="6"/>
          <w:w w:val="115"/>
        </w:rPr>
        <w:t> </w:t>
      </w:r>
      <w:r>
        <w:rPr>
          <w:w w:val="115"/>
        </w:rPr>
        <w:t>and</w:t>
      </w:r>
      <w:r>
        <w:rPr>
          <w:spacing w:val="6"/>
          <w:w w:val="115"/>
        </w:rPr>
        <w:t> </w:t>
      </w:r>
      <w:r>
        <w:rPr>
          <w:w w:val="115"/>
        </w:rPr>
        <w:t>that</w:t>
      </w:r>
      <w:r>
        <w:rPr>
          <w:spacing w:val="7"/>
          <w:w w:val="115"/>
        </w:rPr>
        <w:t> </w:t>
      </w:r>
      <w:r>
        <w:rPr>
          <w:w w:val="115"/>
        </w:rPr>
        <w:t>their</w:t>
      </w:r>
      <w:r>
        <w:rPr>
          <w:spacing w:val="6"/>
          <w:w w:val="115"/>
        </w:rPr>
        <w:t> </w:t>
      </w:r>
      <w:r>
        <w:rPr>
          <w:w w:val="115"/>
        </w:rPr>
        <w:t>service</w:t>
      </w:r>
      <w:r>
        <w:rPr>
          <w:spacing w:val="6"/>
          <w:w w:val="115"/>
        </w:rPr>
        <w:t> </w:t>
      </w:r>
      <w:r>
        <w:rPr>
          <w:w w:val="115"/>
        </w:rPr>
        <w:t>had</w:t>
      </w:r>
      <w:r>
        <w:rPr>
          <w:spacing w:val="6"/>
          <w:w w:val="115"/>
        </w:rPr>
        <w:t> </w:t>
      </w:r>
      <w:r>
        <w:rPr>
          <w:w w:val="115"/>
        </w:rPr>
        <w:t>been</w:t>
      </w:r>
      <w:r>
        <w:rPr>
          <w:spacing w:val="7"/>
          <w:w w:val="115"/>
        </w:rPr>
        <w:t> </w:t>
      </w:r>
      <w:r>
        <w:rPr>
          <w:w w:val="115"/>
        </w:rPr>
        <w:t>good.</w:t>
      </w:r>
      <w:r>
        <w:rPr>
          <w:spacing w:val="14"/>
          <w:w w:val="115"/>
        </w:rPr>
        <w:t> </w:t>
      </w:r>
      <w:r>
        <w:rPr>
          <w:w w:val="115"/>
        </w:rPr>
        <w:t>He</w:t>
      </w:r>
      <w:r>
        <w:rPr>
          <w:spacing w:val="6"/>
          <w:w w:val="115"/>
        </w:rPr>
        <w:t> </w:t>
      </w:r>
      <w:r>
        <w:rPr>
          <w:w w:val="115"/>
        </w:rPr>
        <w:t>suggested</w:t>
      </w:r>
      <w:r>
        <w:rPr>
          <w:spacing w:val="6"/>
          <w:w w:val="115"/>
        </w:rPr>
        <w:t> </w:t>
      </w:r>
      <w:r>
        <w:rPr>
          <w:w w:val="115"/>
        </w:rPr>
        <w:t>that</w:t>
      </w:r>
    </w:p>
    <w:p>
      <w:pPr>
        <w:spacing w:after="0"/>
        <w:jc w:val="both"/>
        <w:sectPr>
          <w:pgSz w:w="12240" w:h="15840"/>
          <w:pgMar w:header="0" w:footer="523" w:top="1360" w:bottom="720" w:left="280" w:right="380"/>
        </w:sectPr>
      </w:pPr>
    </w:p>
    <w:p>
      <w:pPr>
        <w:pStyle w:val="BodyText"/>
        <w:spacing w:before="77"/>
        <w:ind w:left="1160" w:right="1054"/>
        <w:jc w:val="both"/>
      </w:pPr>
      <w:r>
        <w:rPr>
          <w:w w:val="115"/>
        </w:rPr>
        <w:t>the Executive Council move forward with Elyk and that he work on a final</w:t>
      </w:r>
      <w:r>
        <w:rPr>
          <w:spacing w:val="60"/>
          <w:w w:val="115"/>
        </w:rPr>
        <w:t> </w:t>
      </w:r>
      <w:r>
        <w:rPr>
          <w:w w:val="115"/>
        </w:rPr>
        <w:t>contract for consideration. He also noted that the Section budget reflects $1500 dedicated</w:t>
      </w:r>
      <w:r>
        <w:rPr>
          <w:spacing w:val="-5"/>
          <w:w w:val="115"/>
        </w:rPr>
        <w:t> </w:t>
      </w:r>
      <w:r>
        <w:rPr>
          <w:w w:val="115"/>
        </w:rPr>
        <w:t>to</w:t>
      </w:r>
      <w:r>
        <w:rPr>
          <w:spacing w:val="-5"/>
          <w:w w:val="115"/>
        </w:rPr>
        <w:t> </w:t>
      </w:r>
      <w:r>
        <w:rPr>
          <w:w w:val="115"/>
        </w:rPr>
        <w:t>the</w:t>
      </w:r>
      <w:r>
        <w:rPr>
          <w:spacing w:val="-4"/>
          <w:w w:val="115"/>
        </w:rPr>
        <w:t> </w:t>
      </w:r>
      <w:r>
        <w:rPr>
          <w:w w:val="115"/>
        </w:rPr>
        <w:t>website,</w:t>
      </w:r>
      <w:r>
        <w:rPr>
          <w:spacing w:val="-5"/>
          <w:w w:val="115"/>
        </w:rPr>
        <w:t> </w:t>
      </w:r>
      <w:r>
        <w:rPr>
          <w:w w:val="115"/>
        </w:rPr>
        <w:t>which</w:t>
      </w:r>
      <w:r>
        <w:rPr>
          <w:spacing w:val="-5"/>
          <w:w w:val="115"/>
        </w:rPr>
        <w:t> </w:t>
      </w:r>
      <w:r>
        <w:rPr>
          <w:w w:val="115"/>
        </w:rPr>
        <w:t>would</w:t>
      </w:r>
      <w:r>
        <w:rPr>
          <w:spacing w:val="-4"/>
          <w:w w:val="115"/>
        </w:rPr>
        <w:t> </w:t>
      </w:r>
      <w:r>
        <w:rPr>
          <w:w w:val="115"/>
        </w:rPr>
        <w:t>require</w:t>
      </w:r>
      <w:r>
        <w:rPr>
          <w:spacing w:val="-5"/>
          <w:w w:val="115"/>
        </w:rPr>
        <w:t> </w:t>
      </w:r>
      <w:r>
        <w:rPr>
          <w:w w:val="115"/>
        </w:rPr>
        <w:t>an</w:t>
      </w:r>
      <w:r>
        <w:rPr>
          <w:spacing w:val="-5"/>
          <w:w w:val="115"/>
        </w:rPr>
        <w:t> </w:t>
      </w:r>
      <w:r>
        <w:rPr>
          <w:w w:val="115"/>
        </w:rPr>
        <w:t>increase</w:t>
      </w:r>
      <w:r>
        <w:rPr>
          <w:spacing w:val="-5"/>
          <w:w w:val="115"/>
        </w:rPr>
        <w:t> </w:t>
      </w:r>
      <w:r>
        <w:rPr>
          <w:w w:val="115"/>
        </w:rPr>
        <w:t>in</w:t>
      </w:r>
      <w:r>
        <w:rPr>
          <w:spacing w:val="-6"/>
          <w:w w:val="115"/>
        </w:rPr>
        <w:t> </w:t>
      </w:r>
      <w:r>
        <w:rPr>
          <w:w w:val="115"/>
        </w:rPr>
        <w:t>light</w:t>
      </w:r>
      <w:r>
        <w:rPr>
          <w:spacing w:val="-5"/>
          <w:w w:val="115"/>
        </w:rPr>
        <w:t> </w:t>
      </w:r>
      <w:r>
        <w:rPr>
          <w:w w:val="115"/>
        </w:rPr>
        <w:t>of</w:t>
      </w:r>
      <w:r>
        <w:rPr>
          <w:spacing w:val="-4"/>
          <w:w w:val="115"/>
        </w:rPr>
        <w:t> </w:t>
      </w:r>
      <w:r>
        <w:rPr>
          <w:w w:val="115"/>
        </w:rPr>
        <w:t>this</w:t>
      </w:r>
      <w:r>
        <w:rPr>
          <w:spacing w:val="-5"/>
          <w:w w:val="115"/>
        </w:rPr>
        <w:t> </w:t>
      </w:r>
      <w:r>
        <w:rPr>
          <w:w w:val="115"/>
        </w:rPr>
        <w:t>special project.</w:t>
      </w:r>
      <w:r>
        <w:rPr>
          <w:spacing w:val="60"/>
          <w:w w:val="115"/>
        </w:rPr>
        <w:t> </w:t>
      </w:r>
      <w:r>
        <w:rPr>
          <w:w w:val="115"/>
        </w:rPr>
        <w:t>In response to Judge Kilbride’s question, Brian noted that Elyk would  update the design of our website (which is still using 2011-12 design).</w:t>
      </w:r>
      <w:r>
        <w:rPr>
          <w:spacing w:val="60"/>
          <w:w w:val="115"/>
        </w:rPr>
        <w:t> </w:t>
      </w:r>
      <w:r>
        <w:rPr>
          <w:w w:val="115"/>
        </w:rPr>
        <w:t>In response to a Kilbride/Adams motion, the Section voted to approve Elyk as the vendor to design the Section’s new website, with a budget of “up to” $8500 per year to update and administer the</w:t>
      </w:r>
      <w:r>
        <w:rPr>
          <w:spacing w:val="20"/>
          <w:w w:val="115"/>
        </w:rPr>
        <w:t> </w:t>
      </w:r>
      <w:r>
        <w:rPr>
          <w:w w:val="115"/>
        </w:rPr>
        <w:t>website.</w:t>
      </w:r>
    </w:p>
    <w:p>
      <w:pPr>
        <w:pStyle w:val="BodyText"/>
        <w:spacing w:before="2"/>
      </w:pPr>
    </w:p>
    <w:p>
      <w:pPr>
        <w:pStyle w:val="Heading6"/>
        <w:numPr>
          <w:ilvl w:val="0"/>
          <w:numId w:val="2"/>
        </w:numPr>
        <w:tabs>
          <w:tab w:pos="1879" w:val="left" w:leader="none"/>
          <w:tab w:pos="1880" w:val="left" w:leader="none"/>
        </w:tabs>
        <w:spacing w:line="240" w:lineRule="auto" w:before="0" w:after="0"/>
        <w:ind w:left="1880" w:right="0" w:hanging="720"/>
        <w:jc w:val="left"/>
        <w:rPr>
          <w:rFonts w:ascii="Cambria"/>
        </w:rPr>
      </w:pPr>
      <w:r>
        <w:rPr>
          <w:rFonts w:ascii="Cambria"/>
          <w:w w:val="110"/>
        </w:rPr>
        <w:t>New</w:t>
      </w:r>
      <w:r>
        <w:rPr>
          <w:rFonts w:ascii="Cambria"/>
          <w:spacing w:val="23"/>
          <w:w w:val="110"/>
        </w:rPr>
        <w:t> </w:t>
      </w:r>
      <w:r>
        <w:rPr>
          <w:rFonts w:ascii="Cambria"/>
          <w:w w:val="110"/>
        </w:rPr>
        <w:t>Business</w:t>
      </w:r>
    </w:p>
    <w:p>
      <w:pPr>
        <w:pStyle w:val="BodyText"/>
        <w:spacing w:before="1"/>
        <w:rPr>
          <w:b/>
        </w:rPr>
      </w:pPr>
    </w:p>
    <w:p>
      <w:pPr>
        <w:pStyle w:val="BodyText"/>
        <w:spacing w:before="1"/>
        <w:ind w:left="1159" w:right="1054" w:firstLine="360"/>
        <w:jc w:val="both"/>
      </w:pPr>
      <w:r>
        <w:rPr>
          <w:w w:val="115"/>
        </w:rPr>
        <w:t>Chair</w:t>
      </w:r>
      <w:r>
        <w:rPr>
          <w:spacing w:val="-36"/>
          <w:w w:val="115"/>
        </w:rPr>
        <w:t> </w:t>
      </w:r>
      <w:r>
        <w:rPr>
          <w:w w:val="115"/>
        </w:rPr>
        <w:t>Scott</w:t>
      </w:r>
      <w:r>
        <w:rPr>
          <w:spacing w:val="-35"/>
          <w:w w:val="115"/>
        </w:rPr>
        <w:t> </w:t>
      </w:r>
      <w:r>
        <w:rPr>
          <w:w w:val="115"/>
        </w:rPr>
        <w:t>referenced</w:t>
      </w:r>
      <w:r>
        <w:rPr>
          <w:spacing w:val="-36"/>
          <w:w w:val="115"/>
        </w:rPr>
        <w:t> </w:t>
      </w:r>
      <w:r>
        <w:rPr>
          <w:w w:val="115"/>
        </w:rPr>
        <w:t>the</w:t>
      </w:r>
      <w:r>
        <w:rPr>
          <w:spacing w:val="-35"/>
          <w:w w:val="115"/>
        </w:rPr>
        <w:t> </w:t>
      </w:r>
      <w:r>
        <w:rPr>
          <w:w w:val="115"/>
        </w:rPr>
        <w:t>Survey</w:t>
      </w:r>
      <w:r>
        <w:rPr>
          <w:spacing w:val="-36"/>
          <w:w w:val="115"/>
        </w:rPr>
        <w:t> </w:t>
      </w:r>
      <w:r>
        <w:rPr>
          <w:w w:val="115"/>
        </w:rPr>
        <w:t>Results</w:t>
      </w:r>
      <w:r>
        <w:rPr>
          <w:spacing w:val="-36"/>
          <w:w w:val="115"/>
        </w:rPr>
        <w:t> </w:t>
      </w:r>
      <w:r>
        <w:rPr>
          <w:w w:val="115"/>
        </w:rPr>
        <w:t>(</w:t>
      </w:r>
      <w:r>
        <w:rPr>
          <w:rFonts w:ascii="Georgia" w:hAnsi="Georgia"/>
          <w:i/>
          <w:w w:val="115"/>
        </w:rPr>
        <w:t>Agenda</w:t>
      </w:r>
      <w:r>
        <w:rPr>
          <w:rFonts w:ascii="Georgia" w:hAnsi="Georgia"/>
          <w:i/>
          <w:spacing w:val="-45"/>
          <w:w w:val="115"/>
        </w:rPr>
        <w:t> </w:t>
      </w:r>
      <w:r>
        <w:rPr>
          <w:rFonts w:ascii="Georgia" w:hAnsi="Georgia"/>
          <w:i/>
          <w:w w:val="115"/>
        </w:rPr>
        <w:t>Attachment</w:t>
      </w:r>
      <w:r>
        <w:rPr>
          <w:rFonts w:ascii="Georgia" w:hAnsi="Georgia"/>
          <w:i/>
          <w:spacing w:val="-44"/>
          <w:w w:val="115"/>
        </w:rPr>
        <w:t> </w:t>
      </w:r>
      <w:r>
        <w:rPr>
          <w:rFonts w:ascii="Georgia" w:hAnsi="Georgia"/>
          <w:i/>
          <w:w w:val="115"/>
        </w:rPr>
        <w:t>F</w:t>
      </w:r>
      <w:r>
        <w:rPr>
          <w:w w:val="115"/>
        </w:rPr>
        <w:t>)</w:t>
      </w:r>
      <w:r>
        <w:rPr>
          <w:spacing w:val="-35"/>
          <w:w w:val="115"/>
        </w:rPr>
        <w:t> </w:t>
      </w:r>
      <w:r>
        <w:rPr>
          <w:w w:val="115"/>
        </w:rPr>
        <w:t>with</w:t>
      </w:r>
      <w:r>
        <w:rPr>
          <w:spacing w:val="-35"/>
          <w:w w:val="115"/>
        </w:rPr>
        <w:t> </w:t>
      </w:r>
      <w:r>
        <w:rPr>
          <w:w w:val="115"/>
        </w:rPr>
        <w:t>respect to the need for and structure of “a multi-day, intensive trial seminar hosted by the Labor and Employment Law Section.”</w:t>
      </w:r>
      <w:r>
        <w:rPr>
          <w:spacing w:val="60"/>
          <w:w w:val="115"/>
        </w:rPr>
        <w:t> </w:t>
      </w:r>
      <w:r>
        <w:rPr>
          <w:w w:val="115"/>
        </w:rPr>
        <w:t>Chair Scott and Leslie Langbein felt that the survey reflected a desire for a seminar similar to the old Stetson trial seminar. RAAC Chairman Brown stated that we need to first find a sponsor for the program, preferably a law school. Chair Scott responded that there is an ad hoc</w:t>
      </w:r>
      <w:r>
        <w:rPr>
          <w:spacing w:val="-9"/>
          <w:w w:val="115"/>
        </w:rPr>
        <w:t> </w:t>
      </w:r>
      <w:r>
        <w:rPr>
          <w:w w:val="115"/>
        </w:rPr>
        <w:t>committee</w:t>
      </w:r>
      <w:r>
        <w:rPr>
          <w:spacing w:val="-8"/>
          <w:w w:val="115"/>
        </w:rPr>
        <w:t> </w:t>
      </w:r>
      <w:r>
        <w:rPr>
          <w:w w:val="115"/>
        </w:rPr>
        <w:t>working</w:t>
      </w:r>
      <w:r>
        <w:rPr>
          <w:spacing w:val="-8"/>
          <w:w w:val="115"/>
        </w:rPr>
        <w:t> </w:t>
      </w:r>
      <w:r>
        <w:rPr>
          <w:w w:val="115"/>
        </w:rPr>
        <w:t>on</w:t>
      </w:r>
      <w:r>
        <w:rPr>
          <w:spacing w:val="-9"/>
          <w:w w:val="115"/>
        </w:rPr>
        <w:t> </w:t>
      </w:r>
      <w:r>
        <w:rPr>
          <w:w w:val="115"/>
        </w:rPr>
        <w:t>this.</w:t>
      </w:r>
      <w:r>
        <w:rPr>
          <w:spacing w:val="43"/>
          <w:w w:val="115"/>
        </w:rPr>
        <w:t> </w:t>
      </w:r>
      <w:r>
        <w:rPr>
          <w:w w:val="115"/>
        </w:rPr>
        <w:t>Jay</w:t>
      </w:r>
      <w:r>
        <w:rPr>
          <w:spacing w:val="-9"/>
          <w:w w:val="115"/>
        </w:rPr>
        <w:t> </w:t>
      </w:r>
      <w:r>
        <w:rPr>
          <w:w w:val="115"/>
        </w:rPr>
        <w:t>Lechner</w:t>
      </w:r>
      <w:r>
        <w:rPr>
          <w:spacing w:val="-8"/>
          <w:w w:val="115"/>
        </w:rPr>
        <w:t> </w:t>
      </w:r>
      <w:r>
        <w:rPr>
          <w:w w:val="115"/>
        </w:rPr>
        <w:t>noted</w:t>
      </w:r>
      <w:r>
        <w:rPr>
          <w:spacing w:val="-8"/>
          <w:w w:val="115"/>
        </w:rPr>
        <w:t> </w:t>
      </w:r>
      <w:r>
        <w:rPr>
          <w:w w:val="115"/>
        </w:rPr>
        <w:t>that</w:t>
      </w:r>
      <w:r>
        <w:rPr>
          <w:spacing w:val="-9"/>
          <w:w w:val="115"/>
        </w:rPr>
        <w:t> </w:t>
      </w:r>
      <w:r>
        <w:rPr>
          <w:w w:val="115"/>
        </w:rPr>
        <w:t>people</w:t>
      </w:r>
      <w:r>
        <w:rPr>
          <w:spacing w:val="-8"/>
          <w:w w:val="115"/>
        </w:rPr>
        <w:t> </w:t>
      </w:r>
      <w:r>
        <w:rPr>
          <w:w w:val="115"/>
        </w:rPr>
        <w:t>don’t</w:t>
      </w:r>
      <w:r>
        <w:rPr>
          <w:spacing w:val="-8"/>
          <w:w w:val="115"/>
        </w:rPr>
        <w:t> </w:t>
      </w:r>
      <w:r>
        <w:rPr>
          <w:w w:val="115"/>
        </w:rPr>
        <w:t>want</w:t>
      </w:r>
      <w:r>
        <w:rPr>
          <w:spacing w:val="-9"/>
          <w:w w:val="115"/>
        </w:rPr>
        <w:t> </w:t>
      </w:r>
      <w:r>
        <w:rPr>
          <w:w w:val="115"/>
        </w:rPr>
        <w:t>to</w:t>
      </w:r>
      <w:r>
        <w:rPr>
          <w:spacing w:val="-9"/>
          <w:w w:val="115"/>
        </w:rPr>
        <w:t> </w:t>
      </w:r>
      <w:r>
        <w:rPr>
          <w:w w:val="115"/>
        </w:rPr>
        <w:t>pay out-of-pocket for this seminar.</w:t>
      </w:r>
      <w:r>
        <w:rPr>
          <w:spacing w:val="60"/>
          <w:w w:val="115"/>
        </w:rPr>
        <w:t> </w:t>
      </w:r>
      <w:r>
        <w:rPr>
          <w:w w:val="115"/>
        </w:rPr>
        <w:t>Chair Scott stated that there would be more discussion</w:t>
      </w:r>
      <w:r>
        <w:rPr>
          <w:spacing w:val="13"/>
          <w:w w:val="115"/>
        </w:rPr>
        <w:t> </w:t>
      </w:r>
      <w:r>
        <w:rPr>
          <w:w w:val="115"/>
        </w:rPr>
        <w:t>of</w:t>
      </w:r>
      <w:r>
        <w:rPr>
          <w:spacing w:val="14"/>
          <w:w w:val="115"/>
        </w:rPr>
        <w:t> </w:t>
      </w:r>
      <w:r>
        <w:rPr>
          <w:w w:val="115"/>
        </w:rPr>
        <w:t>this</w:t>
      </w:r>
      <w:r>
        <w:rPr>
          <w:spacing w:val="15"/>
          <w:w w:val="115"/>
        </w:rPr>
        <w:t> </w:t>
      </w:r>
      <w:r>
        <w:rPr>
          <w:w w:val="115"/>
        </w:rPr>
        <w:t>proposed</w:t>
      </w:r>
      <w:r>
        <w:rPr>
          <w:spacing w:val="13"/>
          <w:w w:val="115"/>
        </w:rPr>
        <w:t> </w:t>
      </w:r>
      <w:r>
        <w:rPr>
          <w:w w:val="115"/>
        </w:rPr>
        <w:t>seminar</w:t>
      </w:r>
      <w:r>
        <w:rPr>
          <w:spacing w:val="14"/>
          <w:w w:val="115"/>
        </w:rPr>
        <w:t> </w:t>
      </w:r>
      <w:r>
        <w:rPr>
          <w:w w:val="115"/>
        </w:rPr>
        <w:t>in</w:t>
      </w:r>
      <w:r>
        <w:rPr>
          <w:spacing w:val="15"/>
          <w:w w:val="115"/>
        </w:rPr>
        <w:t> </w:t>
      </w:r>
      <w:r>
        <w:rPr>
          <w:w w:val="115"/>
        </w:rPr>
        <w:t>the</w:t>
      </w:r>
      <w:r>
        <w:rPr>
          <w:spacing w:val="14"/>
          <w:w w:val="115"/>
        </w:rPr>
        <w:t> </w:t>
      </w:r>
      <w:r>
        <w:rPr>
          <w:w w:val="115"/>
        </w:rPr>
        <w:t>future.</w:t>
      </w:r>
    </w:p>
    <w:p>
      <w:pPr>
        <w:pStyle w:val="BodyText"/>
        <w:spacing w:before="3"/>
      </w:pPr>
    </w:p>
    <w:p>
      <w:pPr>
        <w:pStyle w:val="BodyText"/>
        <w:spacing w:before="1"/>
        <w:ind w:left="1160" w:right="1058" w:firstLine="360"/>
        <w:jc w:val="both"/>
      </w:pPr>
      <w:r>
        <w:rPr>
          <w:w w:val="115"/>
        </w:rPr>
        <w:t>Chair Scott declared that she was very happy with the 2018-19 Audio</w:t>
      </w:r>
      <w:r>
        <w:rPr>
          <w:spacing w:val="60"/>
          <w:w w:val="115"/>
        </w:rPr>
        <w:t> </w:t>
      </w:r>
      <w:r>
        <w:rPr>
          <w:w w:val="115"/>
        </w:rPr>
        <w:t>Webcast</w:t>
      </w:r>
      <w:r>
        <w:rPr>
          <w:spacing w:val="-30"/>
          <w:w w:val="115"/>
        </w:rPr>
        <w:t> </w:t>
      </w:r>
      <w:r>
        <w:rPr>
          <w:w w:val="115"/>
        </w:rPr>
        <w:t>Series</w:t>
      </w:r>
      <w:r>
        <w:rPr>
          <w:spacing w:val="-29"/>
          <w:w w:val="115"/>
        </w:rPr>
        <w:t> </w:t>
      </w:r>
      <w:r>
        <w:rPr>
          <w:w w:val="115"/>
        </w:rPr>
        <w:t>(</w:t>
      </w:r>
      <w:r>
        <w:rPr>
          <w:rFonts w:ascii="Georgia"/>
          <w:i/>
          <w:w w:val="115"/>
        </w:rPr>
        <w:t>Agenda</w:t>
      </w:r>
      <w:r>
        <w:rPr>
          <w:rFonts w:ascii="Georgia"/>
          <w:i/>
          <w:spacing w:val="-38"/>
          <w:w w:val="115"/>
        </w:rPr>
        <w:t> </w:t>
      </w:r>
      <w:r>
        <w:rPr>
          <w:rFonts w:ascii="Georgia"/>
          <w:i/>
          <w:w w:val="115"/>
        </w:rPr>
        <w:t>Attachment</w:t>
      </w:r>
      <w:r>
        <w:rPr>
          <w:rFonts w:ascii="Georgia"/>
          <w:i/>
          <w:spacing w:val="-38"/>
          <w:w w:val="115"/>
        </w:rPr>
        <w:t> </w:t>
      </w:r>
      <w:r>
        <w:rPr>
          <w:rFonts w:ascii="Georgia"/>
          <w:i/>
          <w:w w:val="115"/>
        </w:rPr>
        <w:t>H</w:t>
      </w:r>
      <w:r>
        <w:rPr>
          <w:w w:val="115"/>
        </w:rPr>
        <w:t>),</w:t>
      </w:r>
      <w:r>
        <w:rPr>
          <w:spacing w:val="-28"/>
          <w:w w:val="115"/>
        </w:rPr>
        <w:t> </w:t>
      </w:r>
      <w:r>
        <w:rPr>
          <w:w w:val="115"/>
        </w:rPr>
        <w:t>with</w:t>
      </w:r>
      <w:r>
        <w:rPr>
          <w:spacing w:val="-29"/>
          <w:w w:val="115"/>
        </w:rPr>
        <w:t> </w:t>
      </w:r>
      <w:r>
        <w:rPr>
          <w:w w:val="115"/>
        </w:rPr>
        <w:t>outstanding</w:t>
      </w:r>
      <w:r>
        <w:rPr>
          <w:spacing w:val="-29"/>
          <w:w w:val="115"/>
        </w:rPr>
        <w:t> </w:t>
      </w:r>
      <w:r>
        <w:rPr>
          <w:w w:val="115"/>
        </w:rPr>
        <w:t>presentations/faculty lined up.</w:t>
      </w:r>
      <w:r>
        <w:rPr>
          <w:spacing w:val="60"/>
          <w:w w:val="115"/>
        </w:rPr>
        <w:t> </w:t>
      </w:r>
      <w:r>
        <w:rPr>
          <w:w w:val="115"/>
        </w:rPr>
        <w:t>The webinars were</w:t>
      </w:r>
      <w:r>
        <w:rPr>
          <w:spacing w:val="22"/>
          <w:w w:val="115"/>
        </w:rPr>
        <w:t> </w:t>
      </w:r>
      <w:r>
        <w:rPr>
          <w:w w:val="115"/>
        </w:rPr>
        <w:t>available as a buy 6, get one free.</w:t>
      </w:r>
    </w:p>
    <w:p>
      <w:pPr>
        <w:pStyle w:val="BodyText"/>
        <w:spacing w:before="2"/>
      </w:pPr>
    </w:p>
    <w:p>
      <w:pPr>
        <w:pStyle w:val="BodyText"/>
        <w:ind w:left="1160" w:right="1054" w:firstLine="360"/>
        <w:jc w:val="both"/>
      </w:pPr>
      <w:r>
        <w:rPr>
          <w:w w:val="115"/>
        </w:rPr>
        <w:t>The</w:t>
      </w:r>
      <w:r>
        <w:rPr>
          <w:spacing w:val="-13"/>
          <w:w w:val="115"/>
        </w:rPr>
        <w:t> </w:t>
      </w:r>
      <w:r>
        <w:rPr>
          <w:w w:val="115"/>
        </w:rPr>
        <w:t>Chair</w:t>
      </w:r>
      <w:r>
        <w:rPr>
          <w:spacing w:val="-13"/>
          <w:w w:val="115"/>
        </w:rPr>
        <w:t> </w:t>
      </w:r>
      <w:r>
        <w:rPr>
          <w:w w:val="115"/>
        </w:rPr>
        <w:t>invited</w:t>
      </w:r>
      <w:r>
        <w:rPr>
          <w:spacing w:val="-12"/>
          <w:w w:val="115"/>
        </w:rPr>
        <w:t> </w:t>
      </w:r>
      <w:r>
        <w:rPr>
          <w:w w:val="115"/>
        </w:rPr>
        <w:t>members</w:t>
      </w:r>
      <w:r>
        <w:rPr>
          <w:spacing w:val="-13"/>
          <w:w w:val="115"/>
        </w:rPr>
        <w:t> </w:t>
      </w:r>
      <w:r>
        <w:rPr>
          <w:w w:val="115"/>
        </w:rPr>
        <w:t>and</w:t>
      </w:r>
      <w:r>
        <w:rPr>
          <w:spacing w:val="-12"/>
          <w:w w:val="115"/>
        </w:rPr>
        <w:t> </w:t>
      </w:r>
      <w:r>
        <w:rPr>
          <w:w w:val="115"/>
        </w:rPr>
        <w:t>guests</w:t>
      </w:r>
      <w:r>
        <w:rPr>
          <w:spacing w:val="-13"/>
          <w:w w:val="115"/>
        </w:rPr>
        <w:t> </w:t>
      </w:r>
      <w:r>
        <w:rPr>
          <w:w w:val="115"/>
        </w:rPr>
        <w:t>to</w:t>
      </w:r>
      <w:r>
        <w:rPr>
          <w:spacing w:val="-14"/>
          <w:w w:val="115"/>
        </w:rPr>
        <w:t> </w:t>
      </w:r>
      <w:r>
        <w:rPr>
          <w:w w:val="115"/>
        </w:rPr>
        <w:t>attend</w:t>
      </w:r>
      <w:r>
        <w:rPr>
          <w:spacing w:val="-13"/>
          <w:w w:val="115"/>
        </w:rPr>
        <w:t> </w:t>
      </w:r>
      <w:r>
        <w:rPr>
          <w:w w:val="115"/>
        </w:rPr>
        <w:t>a</w:t>
      </w:r>
      <w:r>
        <w:rPr>
          <w:spacing w:val="-12"/>
          <w:w w:val="115"/>
        </w:rPr>
        <w:t> </w:t>
      </w:r>
      <w:r>
        <w:rPr>
          <w:w w:val="115"/>
        </w:rPr>
        <w:t>Section</w:t>
      </w:r>
      <w:r>
        <w:rPr>
          <w:spacing w:val="-13"/>
          <w:w w:val="115"/>
        </w:rPr>
        <w:t> </w:t>
      </w:r>
      <w:r>
        <w:rPr>
          <w:w w:val="115"/>
        </w:rPr>
        <w:t>reception</w:t>
      </w:r>
      <w:r>
        <w:rPr>
          <w:spacing w:val="-12"/>
          <w:w w:val="115"/>
        </w:rPr>
        <w:t> </w:t>
      </w:r>
      <w:r>
        <w:rPr>
          <w:w w:val="115"/>
        </w:rPr>
        <w:t>following the meeting, as well as a dessert reception in her suite following the regular reception.</w:t>
      </w:r>
    </w:p>
    <w:p>
      <w:pPr>
        <w:pStyle w:val="BodyText"/>
      </w:pPr>
    </w:p>
    <w:p>
      <w:pPr>
        <w:pStyle w:val="Heading6"/>
        <w:numPr>
          <w:ilvl w:val="0"/>
          <w:numId w:val="2"/>
        </w:numPr>
        <w:tabs>
          <w:tab w:pos="1879" w:val="left" w:leader="none"/>
          <w:tab w:pos="1880" w:val="left" w:leader="none"/>
        </w:tabs>
        <w:spacing w:line="240" w:lineRule="auto" w:before="0" w:after="0"/>
        <w:ind w:left="1880" w:right="0" w:hanging="720"/>
        <w:jc w:val="left"/>
        <w:rPr>
          <w:rFonts w:ascii="Cambria"/>
        </w:rPr>
      </w:pPr>
      <w:r>
        <w:rPr>
          <w:rFonts w:ascii="Cambria"/>
          <w:w w:val="110"/>
        </w:rPr>
        <w:t>Adjournment</w:t>
      </w:r>
    </w:p>
    <w:p>
      <w:pPr>
        <w:pStyle w:val="BodyText"/>
        <w:spacing w:before="1"/>
        <w:rPr>
          <w:b/>
        </w:rPr>
      </w:pPr>
    </w:p>
    <w:p>
      <w:pPr>
        <w:pStyle w:val="BodyText"/>
        <w:ind w:left="1499" w:right="1491"/>
        <w:jc w:val="center"/>
      </w:pPr>
      <w:r>
        <w:rPr>
          <w:w w:val="115"/>
        </w:rPr>
        <w:t>Leslie/RobE moved to adjourn.</w:t>
      </w:r>
      <w:r>
        <w:rPr>
          <w:spacing w:val="60"/>
          <w:w w:val="115"/>
        </w:rPr>
        <w:t> </w:t>
      </w:r>
      <w:r>
        <w:rPr>
          <w:w w:val="115"/>
        </w:rPr>
        <w:t>The meeting was adjourned at 6:05</w:t>
      </w:r>
      <w:r>
        <w:rPr>
          <w:spacing w:val="54"/>
          <w:w w:val="115"/>
        </w:rPr>
        <w:t> </w:t>
      </w:r>
      <w:r>
        <w:rPr>
          <w:w w:val="115"/>
        </w:rPr>
        <w:t>p.m.</w:t>
      </w:r>
    </w:p>
    <w:p>
      <w:pPr>
        <w:pStyle w:val="BodyText"/>
        <w:spacing w:before="2"/>
      </w:pPr>
    </w:p>
    <w:p>
      <w:pPr>
        <w:pStyle w:val="Heading6"/>
        <w:numPr>
          <w:ilvl w:val="0"/>
          <w:numId w:val="2"/>
        </w:numPr>
        <w:tabs>
          <w:tab w:pos="1879" w:val="left" w:leader="none"/>
          <w:tab w:pos="1880" w:val="left" w:leader="none"/>
        </w:tabs>
        <w:spacing w:line="240" w:lineRule="auto" w:before="0" w:after="0"/>
        <w:ind w:left="1880" w:right="0" w:hanging="720"/>
        <w:jc w:val="left"/>
        <w:rPr>
          <w:rFonts w:ascii="Cambria"/>
        </w:rPr>
      </w:pPr>
      <w:r>
        <w:rPr>
          <w:rFonts w:ascii="Cambria"/>
          <w:w w:val="115"/>
        </w:rPr>
        <w:t>Next Executive Council</w:t>
      </w:r>
      <w:r>
        <w:rPr>
          <w:rFonts w:ascii="Cambria"/>
          <w:spacing w:val="58"/>
          <w:w w:val="115"/>
        </w:rPr>
        <w:t> </w:t>
      </w:r>
      <w:r>
        <w:rPr>
          <w:rFonts w:ascii="Cambria"/>
          <w:w w:val="115"/>
        </w:rPr>
        <w:t>Meeting</w:t>
      </w:r>
    </w:p>
    <w:p>
      <w:pPr>
        <w:pStyle w:val="BodyText"/>
        <w:spacing w:before="1"/>
        <w:rPr>
          <w:b/>
        </w:rPr>
      </w:pPr>
    </w:p>
    <w:p>
      <w:pPr>
        <w:pStyle w:val="BodyText"/>
        <w:ind w:left="1160" w:right="1062" w:firstLine="360"/>
        <w:jc w:val="both"/>
      </w:pPr>
      <w:r>
        <w:rPr>
          <w:w w:val="115"/>
        </w:rPr>
        <w:t>The next Executive Council Meeting will take place at 5:00 p.m. on Thursday, January 17, 2019 at the DoubleTree by Hilton Orlando at Sea World.</w:t>
      </w:r>
    </w:p>
    <w:p>
      <w:pPr>
        <w:spacing w:after="0"/>
        <w:jc w:val="both"/>
        <w:sectPr>
          <w:pgSz w:w="12240" w:h="15840"/>
          <w:pgMar w:header="0" w:footer="523" w:top="1360" w:bottom="720" w:left="280" w:right="380"/>
        </w:sectPr>
      </w:pPr>
    </w:p>
    <w:p>
      <w:pPr>
        <w:pStyle w:val="BodyText"/>
        <w:spacing w:before="10"/>
        <w:rPr>
          <w:sz w:val="13"/>
        </w:rPr>
      </w:pPr>
    </w:p>
    <w:p>
      <w:pPr>
        <w:pStyle w:val="BodyText"/>
        <w:ind w:left="4999"/>
        <w:rPr>
          <w:sz w:val="20"/>
        </w:rPr>
      </w:pPr>
      <w:r>
        <w:rPr>
          <w:sz w:val="20"/>
        </w:rPr>
        <w:drawing>
          <wp:inline distT="0" distB="0" distL="0" distR="0">
            <wp:extent cx="982770" cy="984884"/>
            <wp:effectExtent l="0" t="0" r="0" b="0"/>
            <wp:docPr id="7" name="image4.png" descr="þÿ"/>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982770" cy="984884"/>
                    </a:xfrm>
                    <a:prstGeom prst="rect">
                      <a:avLst/>
                    </a:prstGeom>
                  </pic:spPr>
                </pic:pic>
              </a:graphicData>
            </a:graphic>
          </wp:inline>
        </w:drawing>
      </w:r>
      <w:r>
        <w:rPr>
          <w:sz w:val="20"/>
        </w:rPr>
      </w:r>
    </w:p>
    <w:p>
      <w:pPr>
        <w:pStyle w:val="BodyText"/>
        <w:spacing w:before="5"/>
        <w:rPr>
          <w:sz w:val="17"/>
        </w:rPr>
      </w:pPr>
    </w:p>
    <w:p>
      <w:pPr>
        <w:spacing w:before="81"/>
        <w:ind w:left="1589" w:right="1491" w:firstLine="0"/>
        <w:jc w:val="center"/>
        <w:rPr>
          <w:b/>
          <w:sz w:val="44"/>
        </w:rPr>
      </w:pPr>
      <w:bookmarkStart w:name="4 - Exhibit B - November 2018 LE Financi" w:id="16"/>
      <w:bookmarkEnd w:id="16"/>
      <w:r>
        <w:rPr/>
      </w:r>
      <w:bookmarkStart w:name="SUMMARY - Section Financial Statement - " w:id="17"/>
      <w:bookmarkEnd w:id="17"/>
      <w:r>
        <w:rPr/>
      </w:r>
      <w:r>
        <w:rPr>
          <w:b/>
          <w:sz w:val="44"/>
        </w:rPr>
        <w:t>Labor &amp; Employment Law Section</w:t>
      </w:r>
    </w:p>
    <w:p>
      <w:pPr>
        <w:pStyle w:val="Heading2"/>
        <w:ind w:left="1593"/>
        <w:rPr>
          <w:rFonts w:ascii="Times New Roman" w:hAnsi="Times New Roman"/>
        </w:rPr>
      </w:pPr>
      <w:r>
        <w:rPr>
          <w:rFonts w:ascii="Times New Roman" w:hAnsi="Times New Roman"/>
        </w:rPr>
        <w:t>2018 – 2019</w:t>
      </w:r>
    </w:p>
    <w:p>
      <w:pPr>
        <w:spacing w:before="1"/>
        <w:ind w:left="1587" w:right="1491" w:firstLine="0"/>
        <w:jc w:val="center"/>
        <w:rPr>
          <w:b/>
          <w:sz w:val="36"/>
        </w:rPr>
      </w:pPr>
      <w:r>
        <w:rPr>
          <w:b/>
          <w:sz w:val="36"/>
        </w:rPr>
        <w:t>FINANCIAL</w:t>
      </w:r>
      <w:r>
        <w:rPr>
          <w:b/>
          <w:spacing w:val="-11"/>
          <w:sz w:val="36"/>
        </w:rPr>
        <w:t> </w:t>
      </w:r>
      <w:r>
        <w:rPr>
          <w:b/>
          <w:sz w:val="36"/>
        </w:rPr>
        <w:t>STATEMENT</w:t>
      </w:r>
    </w:p>
    <w:p>
      <w:pPr>
        <w:spacing w:line="240" w:lineRule="auto" w:before="0"/>
        <w:rPr>
          <w:b/>
          <w:sz w:val="40"/>
        </w:rPr>
      </w:pPr>
    </w:p>
    <w:p>
      <w:pPr>
        <w:spacing w:before="275"/>
        <w:ind w:left="1591" w:right="1491" w:firstLine="0"/>
        <w:jc w:val="center"/>
        <w:rPr>
          <w:b/>
          <w:sz w:val="32"/>
        </w:rPr>
      </w:pPr>
      <w:r>
        <w:rPr>
          <w:b/>
          <w:sz w:val="32"/>
        </w:rPr>
        <w:t>SECTION – November 30,</w:t>
      </w:r>
      <w:r>
        <w:rPr>
          <w:b/>
          <w:spacing w:val="-8"/>
          <w:sz w:val="32"/>
        </w:rPr>
        <w:t> </w:t>
      </w:r>
      <w:r>
        <w:rPr>
          <w:b/>
          <w:sz w:val="32"/>
        </w:rPr>
        <w:t>2018</w:t>
      </w:r>
    </w:p>
    <w:p>
      <w:pPr>
        <w:pStyle w:val="Heading6"/>
        <w:tabs>
          <w:tab w:pos="4319" w:val="left" w:leader="none"/>
        </w:tabs>
        <w:spacing w:before="300"/>
        <w:ind w:left="0" w:right="5319"/>
        <w:jc w:val="right"/>
        <w:rPr>
          <w:rFonts w:ascii="Times New Roman"/>
        </w:rPr>
      </w:pPr>
      <w:r>
        <w:rPr>
          <w:rFonts w:ascii="Times New Roman"/>
        </w:rPr>
        <w:t>Beginning Fiscal Year</w:t>
      </w:r>
      <w:r>
        <w:rPr>
          <w:rFonts w:ascii="Times New Roman"/>
          <w:spacing w:val="-5"/>
        </w:rPr>
        <w:t> </w:t>
      </w:r>
      <w:r>
        <w:rPr>
          <w:rFonts w:ascii="Times New Roman"/>
        </w:rPr>
        <w:t>Fund</w:t>
      </w:r>
      <w:r>
        <w:rPr>
          <w:rFonts w:ascii="Times New Roman"/>
          <w:spacing w:val="-2"/>
        </w:rPr>
        <w:t> </w:t>
      </w:r>
      <w:r>
        <w:rPr>
          <w:rFonts w:ascii="Times New Roman"/>
        </w:rPr>
        <w:t>Balance</w:t>
        <w:tab/>
        <w:t>$99,944</w:t>
      </w:r>
    </w:p>
    <w:p>
      <w:pPr>
        <w:spacing w:line="240" w:lineRule="auto" w:before="11"/>
        <w:rPr>
          <w:b/>
          <w:sz w:val="23"/>
        </w:rPr>
      </w:pPr>
    </w:p>
    <w:p>
      <w:pPr>
        <w:tabs>
          <w:tab w:pos="3600" w:val="left" w:leader="none"/>
        </w:tabs>
        <w:spacing w:before="0"/>
        <w:ind w:left="0" w:right="5269" w:firstLine="0"/>
        <w:jc w:val="right"/>
        <w:rPr>
          <w:sz w:val="22"/>
        </w:rPr>
      </w:pPr>
      <w:r>
        <w:rPr>
          <w:sz w:val="22"/>
        </w:rPr>
        <w:t>Total</w:t>
      </w:r>
      <w:r>
        <w:rPr>
          <w:spacing w:val="-1"/>
          <w:sz w:val="22"/>
        </w:rPr>
        <w:t> </w:t>
      </w:r>
      <w:r>
        <w:rPr>
          <w:sz w:val="22"/>
        </w:rPr>
        <w:t>Revenue</w:t>
        <w:tab/>
        <w:t>$103,704</w:t>
      </w:r>
    </w:p>
    <w:p>
      <w:pPr>
        <w:tabs>
          <w:tab w:pos="3600" w:val="left" w:leader="none"/>
        </w:tabs>
        <w:spacing w:before="138"/>
        <w:ind w:left="0" w:right="5234" w:firstLine="0"/>
        <w:jc w:val="right"/>
        <w:rPr>
          <w:sz w:val="22"/>
        </w:rPr>
      </w:pPr>
      <w:r>
        <w:rPr>
          <w:sz w:val="22"/>
        </w:rPr>
        <w:t>Total</w:t>
      </w:r>
      <w:r>
        <w:rPr>
          <w:spacing w:val="-1"/>
          <w:sz w:val="22"/>
        </w:rPr>
        <w:t> </w:t>
      </w:r>
      <w:r>
        <w:rPr>
          <w:sz w:val="22"/>
        </w:rPr>
        <w:t>Expenses</w:t>
        <w:tab/>
      </w:r>
      <w:r>
        <w:rPr>
          <w:spacing w:val="-1"/>
          <w:sz w:val="22"/>
        </w:rPr>
        <w:t>($52,583)</w:t>
      </w:r>
    </w:p>
    <w:p>
      <w:pPr>
        <w:spacing w:line="240" w:lineRule="auto" w:before="9"/>
        <w:rPr>
          <w:sz w:val="21"/>
        </w:rPr>
      </w:pPr>
    </w:p>
    <w:p>
      <w:pPr>
        <w:tabs>
          <w:tab w:pos="5480" w:val="left" w:leader="none"/>
        </w:tabs>
        <w:spacing w:before="0"/>
        <w:ind w:left="1880" w:right="0" w:firstLine="0"/>
        <w:jc w:val="left"/>
        <w:rPr>
          <w:sz w:val="22"/>
        </w:rPr>
      </w:pPr>
      <w:r>
        <w:rPr>
          <w:sz w:val="22"/>
        </w:rPr>
        <w:t>Net Operations</w:t>
        <w:tab/>
        <w:t>$51,121</w:t>
      </w:r>
    </w:p>
    <w:p>
      <w:pPr>
        <w:spacing w:line="240" w:lineRule="auto" w:before="2"/>
        <w:rPr>
          <w:sz w:val="24"/>
        </w:rPr>
      </w:pPr>
    </w:p>
    <w:p>
      <w:pPr>
        <w:pStyle w:val="Heading6"/>
        <w:tabs>
          <w:tab w:pos="5479" w:val="left" w:leader="none"/>
        </w:tabs>
        <w:ind w:left="1160"/>
        <w:jc w:val="left"/>
        <w:rPr>
          <w:rFonts w:ascii="Times New Roman"/>
        </w:rPr>
      </w:pPr>
      <w:r>
        <w:rPr>
          <w:rFonts w:ascii="Times New Roman"/>
        </w:rPr>
        <w:t>Ending Fiscal Year</w:t>
      </w:r>
      <w:r>
        <w:rPr>
          <w:rFonts w:ascii="Times New Roman"/>
          <w:spacing w:val="-4"/>
        </w:rPr>
        <w:t> </w:t>
      </w:r>
      <w:r>
        <w:rPr>
          <w:rFonts w:ascii="Times New Roman"/>
        </w:rPr>
        <w:t>Fund</w:t>
      </w:r>
      <w:r>
        <w:rPr>
          <w:rFonts w:ascii="Times New Roman"/>
          <w:spacing w:val="-1"/>
        </w:rPr>
        <w:t> </w:t>
      </w:r>
      <w:r>
        <w:rPr>
          <w:rFonts w:ascii="Times New Roman"/>
        </w:rPr>
        <w:t>Balance</w:t>
        <w:tab/>
        <w:t>$151,065*</w:t>
      </w:r>
    </w:p>
    <w:p>
      <w:pPr>
        <w:spacing w:before="1"/>
        <w:ind w:left="5480" w:right="0" w:firstLine="0"/>
        <w:jc w:val="left"/>
        <w:rPr>
          <w:i/>
          <w:sz w:val="18"/>
        </w:rPr>
      </w:pPr>
      <w:r>
        <w:rPr>
          <w:i/>
          <w:sz w:val="18"/>
        </w:rPr>
        <w:t>*see attached statement of operations</w:t>
      </w:r>
    </w:p>
    <w:p>
      <w:pPr>
        <w:spacing w:line="240" w:lineRule="auto" w:before="0"/>
        <w:rPr>
          <w:i/>
          <w:sz w:val="20"/>
        </w:rPr>
      </w:pPr>
    </w:p>
    <w:p>
      <w:pPr>
        <w:spacing w:line="240" w:lineRule="auto" w:before="0"/>
        <w:rPr>
          <w:i/>
          <w:sz w:val="28"/>
        </w:rPr>
      </w:pPr>
    </w:p>
    <w:p>
      <w:pPr>
        <w:spacing w:before="0"/>
        <w:ind w:left="1594" w:right="1491" w:firstLine="0"/>
        <w:jc w:val="center"/>
        <w:rPr>
          <w:b/>
          <w:sz w:val="28"/>
        </w:rPr>
      </w:pPr>
      <w:r>
        <w:rPr>
          <w:b/>
          <w:sz w:val="28"/>
        </w:rPr>
        <w:t>CURRENT MEMBERSHIP</w:t>
      </w:r>
    </w:p>
    <w:p>
      <w:pPr>
        <w:spacing w:line="240" w:lineRule="auto" w:before="10"/>
        <w:rPr>
          <w:b/>
          <w:sz w:val="23"/>
        </w:rPr>
      </w:pPr>
    </w:p>
    <w:p>
      <w:pPr>
        <w:pStyle w:val="BodyText"/>
        <w:tabs>
          <w:tab w:pos="5659" w:val="left" w:leader="none"/>
        </w:tabs>
        <w:ind w:left="1160"/>
        <w:rPr>
          <w:rFonts w:ascii="Times New Roman"/>
        </w:rPr>
      </w:pPr>
      <w:r>
        <w:rPr>
          <w:rFonts w:ascii="Times New Roman"/>
        </w:rPr>
        <w:t>Current</w:t>
      </w:r>
      <w:r>
        <w:rPr>
          <w:rFonts w:ascii="Times New Roman"/>
          <w:spacing w:val="-2"/>
        </w:rPr>
        <w:t> </w:t>
      </w:r>
      <w:r>
        <w:rPr>
          <w:rFonts w:ascii="Times New Roman"/>
        </w:rPr>
        <w:t>Membership</w:t>
        <w:tab/>
        <w:t>2,042</w:t>
      </w:r>
    </w:p>
    <w:p>
      <w:pPr>
        <w:spacing w:after="0"/>
        <w:rPr>
          <w:rFonts w:ascii="Times New Roman"/>
        </w:rPr>
        <w:sectPr>
          <w:footerReference w:type="default" r:id="rId10"/>
          <w:pgSz w:w="12240" w:h="15840"/>
          <w:pgMar w:footer="523" w:header="0" w:top="1500" w:bottom="720" w:left="280" w:right="380"/>
        </w:sectPr>
      </w:pPr>
    </w:p>
    <w:tbl>
      <w:tblPr>
        <w:tblW w:w="0" w:type="auto"/>
        <w:jc w:val="left"/>
        <w:tblInd w:w="3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8"/>
      </w:tblGrid>
      <w:tr>
        <w:trPr>
          <w:trHeight w:val="255" w:hRule="atLeast"/>
        </w:trPr>
        <w:tc>
          <w:tcPr>
            <w:tcW w:w="4248" w:type="dxa"/>
          </w:tcPr>
          <w:p>
            <w:pPr>
              <w:pStyle w:val="TableParagraph"/>
              <w:spacing w:line="222" w:lineRule="exact"/>
              <w:ind w:left="215" w:right="215"/>
              <w:jc w:val="center"/>
              <w:rPr>
                <w:rFonts w:ascii="Calibri"/>
                <w:sz w:val="22"/>
              </w:rPr>
            </w:pPr>
            <w:bookmarkStart w:name="Labor Law Unaudited SOP 11.30.18" w:id="18"/>
            <w:bookmarkEnd w:id="18"/>
            <w:r>
              <w:rPr/>
            </w:r>
            <w:bookmarkStart w:name="Labor Law Section" w:id="19"/>
            <w:bookmarkEnd w:id="19"/>
            <w:r>
              <w:rPr/>
            </w:r>
            <w:r>
              <w:rPr>
                <w:rFonts w:ascii="Calibri"/>
                <w:sz w:val="22"/>
              </w:rPr>
              <w:t>THE FLORIDA BAR</w:t>
            </w:r>
          </w:p>
        </w:tc>
      </w:tr>
      <w:tr>
        <w:trPr>
          <w:trHeight w:val="290" w:hRule="atLeast"/>
        </w:trPr>
        <w:tc>
          <w:tcPr>
            <w:tcW w:w="4248" w:type="dxa"/>
          </w:tcPr>
          <w:p>
            <w:pPr>
              <w:pStyle w:val="TableParagraph"/>
              <w:spacing w:line="257" w:lineRule="exact"/>
              <w:ind w:left="215" w:right="215"/>
              <w:jc w:val="center"/>
              <w:rPr>
                <w:rFonts w:ascii="Calibri"/>
                <w:sz w:val="22"/>
              </w:rPr>
            </w:pPr>
            <w:r>
              <w:rPr>
                <w:rFonts w:ascii="Calibri"/>
                <w:sz w:val="22"/>
              </w:rPr>
              <w:t>Labor and Employment Law Section</w:t>
            </w:r>
          </w:p>
        </w:tc>
      </w:tr>
      <w:tr>
        <w:trPr>
          <w:trHeight w:val="255" w:hRule="atLeast"/>
        </w:trPr>
        <w:tc>
          <w:tcPr>
            <w:tcW w:w="4248" w:type="dxa"/>
          </w:tcPr>
          <w:p>
            <w:pPr>
              <w:pStyle w:val="TableParagraph"/>
              <w:spacing w:line="236" w:lineRule="exact"/>
              <w:ind w:left="215" w:right="215"/>
              <w:jc w:val="center"/>
              <w:rPr>
                <w:rFonts w:ascii="Calibri"/>
                <w:sz w:val="22"/>
              </w:rPr>
            </w:pPr>
            <w:r>
              <w:rPr>
                <w:rFonts w:ascii="Calibri"/>
                <w:sz w:val="22"/>
              </w:rPr>
              <w:t>For the Month Ending November 30, 2018</w:t>
            </w:r>
          </w:p>
        </w:tc>
      </w:tr>
    </w:tbl>
    <w:p>
      <w:pPr>
        <w:spacing w:line="240" w:lineRule="auto" w:before="0"/>
        <w:rPr>
          <w:sz w:val="20"/>
        </w:rPr>
      </w:pPr>
      <w:r>
        <w:rPr/>
        <w:pict>
          <v:shape style="position:absolute;margin-left:46.370739pt;margin-top:384.472015pt;width:500.6pt;height:15.5pt;mso-position-horizontal-relative:page;mso-position-vertical-relative:page;z-index:2516602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1"/>
                    <w:gridCol w:w="4114"/>
                    <w:gridCol w:w="1205"/>
                  </w:tblGrid>
                  <w:tr>
                    <w:trPr>
                      <w:trHeight w:val="309" w:hRule="atLeast"/>
                    </w:trPr>
                    <w:tc>
                      <w:tcPr>
                        <w:tcW w:w="4691" w:type="dxa"/>
                      </w:tcPr>
                      <w:p>
                        <w:pPr>
                          <w:pStyle w:val="TableParagraph"/>
                          <w:spacing w:before="39"/>
                          <w:ind w:left="200"/>
                          <w:rPr>
                            <w:rFonts w:ascii="Microsoft Sans Serif"/>
                            <w:b/>
                            <w:sz w:val="20"/>
                          </w:rPr>
                        </w:pPr>
                        <w:r>
                          <w:rPr>
                            <w:rFonts w:ascii="Microsoft Sans Serif"/>
                            <w:b/>
                            <w:sz w:val="20"/>
                          </w:rPr>
                          <w:t>Total Revenue</w:t>
                        </w:r>
                      </w:p>
                    </w:tc>
                    <w:tc>
                      <w:tcPr>
                        <w:tcW w:w="4114" w:type="dxa"/>
                      </w:tcPr>
                      <w:p>
                        <w:pPr>
                          <w:pStyle w:val="TableParagraph"/>
                          <w:spacing w:before="39"/>
                          <w:ind w:right="212"/>
                          <w:jc w:val="right"/>
                          <w:rPr>
                            <w:rFonts w:ascii="Microsoft Sans Serif"/>
                            <w:b/>
                            <w:sz w:val="20"/>
                          </w:rPr>
                        </w:pPr>
                        <w:r>
                          <w:rPr>
                            <w:rFonts w:ascii="Microsoft Sans Serif"/>
                            <w:b/>
                            <w:sz w:val="20"/>
                          </w:rPr>
                          <w:t>103,704</w:t>
                        </w:r>
                      </w:p>
                    </w:tc>
                    <w:tc>
                      <w:tcPr>
                        <w:tcW w:w="1205" w:type="dxa"/>
                      </w:tcPr>
                      <w:p>
                        <w:pPr>
                          <w:pStyle w:val="TableParagraph"/>
                          <w:spacing w:before="39"/>
                          <w:ind w:left="217"/>
                          <w:rPr>
                            <w:rFonts w:ascii="Microsoft Sans Serif"/>
                            <w:b/>
                            <w:sz w:val="20"/>
                          </w:rPr>
                        </w:pPr>
                        <w:r>
                          <w:rPr>
                            <w:rFonts w:ascii="Microsoft Sans Serif"/>
                            <w:b/>
                            <w:sz w:val="20"/>
                          </w:rPr>
                          <w:t>159,307</w:t>
                        </w:r>
                      </w:p>
                    </w:tc>
                  </w:tr>
                </w:tbl>
                <w:p>
                  <w:pPr>
                    <w:pStyle w:val="BodyText"/>
                  </w:pPr>
                </w:p>
              </w:txbxContent>
            </v:textbox>
            <w10:wrap type="none"/>
          </v:shape>
        </w:pict>
      </w:r>
    </w:p>
    <w:p>
      <w:pPr>
        <w:spacing w:line="240" w:lineRule="auto" w:before="1" w:after="0"/>
        <w:rPr>
          <w:sz w:val="11"/>
        </w:rPr>
      </w:pPr>
    </w:p>
    <w:tbl>
      <w:tblPr>
        <w:tblW w:w="0" w:type="auto"/>
        <w:jc w:val="left"/>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21"/>
        <w:gridCol w:w="1085"/>
      </w:tblGrid>
      <w:tr>
        <w:trPr>
          <w:trHeight w:val="255" w:hRule="atLeast"/>
        </w:trPr>
        <w:tc>
          <w:tcPr>
            <w:tcW w:w="8621" w:type="dxa"/>
          </w:tcPr>
          <w:p>
            <w:pPr>
              <w:pStyle w:val="TableParagraph"/>
              <w:spacing w:line="225" w:lineRule="exact"/>
              <w:ind w:right="430"/>
              <w:jc w:val="right"/>
              <w:rPr>
                <w:rFonts w:ascii="Calibri"/>
                <w:sz w:val="22"/>
              </w:rPr>
            </w:pPr>
            <w:r>
              <w:rPr>
                <w:rFonts w:ascii="Calibri"/>
                <w:sz w:val="22"/>
              </w:rPr>
              <w:t>2019</w:t>
            </w:r>
          </w:p>
        </w:tc>
        <w:tc>
          <w:tcPr>
            <w:tcW w:w="1085" w:type="dxa"/>
          </w:tcPr>
          <w:p>
            <w:pPr>
              <w:pStyle w:val="TableParagraph"/>
              <w:spacing w:line="225" w:lineRule="exact"/>
              <w:ind w:left="282"/>
              <w:rPr>
                <w:rFonts w:ascii="Calibri"/>
                <w:sz w:val="22"/>
              </w:rPr>
            </w:pPr>
            <w:r>
              <w:rPr>
                <w:rFonts w:ascii="Calibri"/>
                <w:sz w:val="22"/>
              </w:rPr>
              <w:t>2019</w:t>
            </w:r>
          </w:p>
        </w:tc>
      </w:tr>
      <w:tr>
        <w:trPr>
          <w:trHeight w:val="267" w:hRule="atLeast"/>
        </w:trPr>
        <w:tc>
          <w:tcPr>
            <w:tcW w:w="8621" w:type="dxa"/>
            <w:tcBorders>
              <w:bottom w:val="single" w:sz="8" w:space="0" w:color="000000"/>
            </w:tcBorders>
          </w:tcPr>
          <w:p>
            <w:pPr>
              <w:pStyle w:val="TableParagraph"/>
              <w:tabs>
                <w:tab w:pos="7679" w:val="left" w:leader="none"/>
              </w:tabs>
              <w:spacing w:line="247" w:lineRule="exact"/>
              <w:ind w:left="38"/>
              <w:rPr>
                <w:rFonts w:ascii="Calibri"/>
                <w:sz w:val="22"/>
              </w:rPr>
            </w:pPr>
            <w:r>
              <w:rPr>
                <w:rFonts w:ascii="Calibri"/>
                <w:sz w:val="22"/>
              </w:rPr>
              <w:t>Description</w:t>
              <w:tab/>
              <w:t>Actual</w:t>
            </w:r>
          </w:p>
        </w:tc>
        <w:tc>
          <w:tcPr>
            <w:tcW w:w="1085" w:type="dxa"/>
            <w:tcBorders>
              <w:bottom w:val="single" w:sz="8" w:space="0" w:color="000000"/>
            </w:tcBorders>
          </w:tcPr>
          <w:p>
            <w:pPr>
              <w:pStyle w:val="TableParagraph"/>
              <w:spacing w:line="247" w:lineRule="exact"/>
              <w:ind w:left="189"/>
              <w:rPr>
                <w:rFonts w:ascii="Calibri"/>
                <w:sz w:val="22"/>
              </w:rPr>
            </w:pPr>
            <w:r>
              <w:rPr>
                <w:rFonts w:ascii="Calibri"/>
                <w:sz w:val="22"/>
              </w:rPr>
              <w:t>Budget</w:t>
            </w:r>
          </w:p>
        </w:tc>
      </w:tr>
      <w:tr>
        <w:trPr>
          <w:trHeight w:val="277" w:hRule="atLeast"/>
        </w:trPr>
        <w:tc>
          <w:tcPr>
            <w:tcW w:w="8621" w:type="dxa"/>
            <w:tcBorders>
              <w:top w:val="single" w:sz="8" w:space="0" w:color="000000"/>
            </w:tcBorders>
          </w:tcPr>
          <w:p>
            <w:pPr>
              <w:pStyle w:val="TableParagraph"/>
              <w:tabs>
                <w:tab w:pos="7713" w:val="left" w:leader="none"/>
              </w:tabs>
              <w:spacing w:before="19"/>
              <w:ind w:left="38"/>
              <w:rPr>
                <w:rFonts w:ascii="Microsoft Sans Serif"/>
                <w:sz w:val="20"/>
              </w:rPr>
            </w:pPr>
            <w:r>
              <w:rPr>
                <w:rFonts w:ascii="Microsoft Sans Serif"/>
                <w:sz w:val="20"/>
              </w:rPr>
              <w:t>3001-Annual Fees</w:t>
            </w:r>
            <w:r>
              <w:rPr>
                <w:rFonts w:ascii="Microsoft Sans Serif"/>
                <w:spacing w:val="-13"/>
                <w:sz w:val="20"/>
              </w:rPr>
              <w:t> </w:t>
            </w:r>
            <w:r>
              <w:rPr>
                <w:rFonts w:ascii="Microsoft Sans Serif"/>
                <w:sz w:val="20"/>
              </w:rPr>
              <w:t>(member</w:t>
            </w:r>
            <w:r>
              <w:rPr>
                <w:rFonts w:ascii="Microsoft Sans Serif"/>
                <w:spacing w:val="-6"/>
                <w:sz w:val="20"/>
              </w:rPr>
              <w:t> </w:t>
            </w:r>
            <w:r>
              <w:rPr>
                <w:rFonts w:ascii="Microsoft Sans Serif"/>
                <w:sz w:val="20"/>
              </w:rPr>
              <w:t>dues)</w:t>
              <w:tab/>
              <w:t>$90,400</w:t>
            </w:r>
          </w:p>
        </w:tc>
        <w:tc>
          <w:tcPr>
            <w:tcW w:w="1085" w:type="dxa"/>
            <w:tcBorders>
              <w:top w:val="single" w:sz="8" w:space="0" w:color="000000"/>
            </w:tcBorders>
          </w:tcPr>
          <w:p>
            <w:pPr>
              <w:pStyle w:val="TableParagraph"/>
              <w:spacing w:before="19"/>
              <w:ind w:right="106"/>
              <w:jc w:val="right"/>
              <w:rPr>
                <w:rFonts w:ascii="Microsoft Sans Serif"/>
                <w:sz w:val="20"/>
              </w:rPr>
            </w:pPr>
            <w:r>
              <w:rPr>
                <w:rFonts w:ascii="Microsoft Sans Serif"/>
                <w:w w:val="95"/>
                <w:sz w:val="20"/>
              </w:rPr>
              <w:t>$90,090</w:t>
            </w:r>
          </w:p>
        </w:tc>
      </w:tr>
      <w:tr>
        <w:trPr>
          <w:trHeight w:val="282" w:hRule="atLeast"/>
        </w:trPr>
        <w:tc>
          <w:tcPr>
            <w:tcW w:w="8621" w:type="dxa"/>
          </w:tcPr>
          <w:p>
            <w:pPr>
              <w:pStyle w:val="TableParagraph"/>
              <w:tabs>
                <w:tab w:pos="8430" w:val="right" w:leader="none"/>
              </w:tabs>
              <w:spacing w:before="31"/>
              <w:ind w:left="38"/>
              <w:rPr>
                <w:rFonts w:ascii="Microsoft Sans Serif"/>
                <w:sz w:val="20"/>
              </w:rPr>
            </w:pPr>
            <w:r>
              <w:rPr>
                <w:rFonts w:ascii="Microsoft Sans Serif"/>
                <w:sz w:val="20"/>
              </w:rPr>
              <w:t>3002-Affiliate Fees</w:t>
            </w:r>
            <w:r>
              <w:rPr>
                <w:rFonts w:ascii="Microsoft Sans Serif"/>
                <w:spacing w:val="-3"/>
                <w:sz w:val="20"/>
              </w:rPr>
              <w:t> </w:t>
            </w:r>
            <w:r>
              <w:rPr>
                <w:rFonts w:ascii="Microsoft Sans Serif"/>
                <w:sz w:val="20"/>
              </w:rPr>
              <w:t>(affiliate</w:t>
            </w:r>
            <w:r>
              <w:rPr>
                <w:rFonts w:ascii="Microsoft Sans Serif"/>
                <w:spacing w:val="-2"/>
                <w:sz w:val="20"/>
              </w:rPr>
              <w:t> </w:t>
            </w:r>
            <w:r>
              <w:rPr>
                <w:rFonts w:ascii="Microsoft Sans Serif"/>
                <w:sz w:val="20"/>
              </w:rPr>
              <w:t>dues)</w:t>
              <w:tab/>
              <w:t>800</w:t>
            </w:r>
          </w:p>
        </w:tc>
        <w:tc>
          <w:tcPr>
            <w:tcW w:w="1085" w:type="dxa"/>
            <w:tcBorders>
              <w:bottom w:val="single" w:sz="8" w:space="0" w:color="000000"/>
            </w:tcBorders>
          </w:tcPr>
          <w:p>
            <w:pPr>
              <w:pStyle w:val="TableParagraph"/>
              <w:spacing w:before="31"/>
              <w:ind w:right="106"/>
              <w:jc w:val="right"/>
              <w:rPr>
                <w:rFonts w:ascii="Microsoft Sans Serif"/>
                <w:sz w:val="20"/>
              </w:rPr>
            </w:pPr>
            <w:r>
              <w:rPr>
                <w:rFonts w:ascii="Microsoft Sans Serif"/>
                <w:w w:val="95"/>
                <w:sz w:val="20"/>
              </w:rPr>
              <w:t>1,020</w:t>
            </w:r>
          </w:p>
        </w:tc>
      </w:tr>
      <w:tr>
        <w:trPr>
          <w:trHeight w:val="245" w:hRule="atLeast"/>
        </w:trPr>
        <w:tc>
          <w:tcPr>
            <w:tcW w:w="8621" w:type="dxa"/>
          </w:tcPr>
          <w:p>
            <w:pPr>
              <w:pStyle w:val="TableParagraph"/>
              <w:tabs>
                <w:tab w:pos="7807" w:val="left" w:leader="none"/>
              </w:tabs>
              <w:spacing w:line="206" w:lineRule="exact" w:before="19"/>
              <w:ind w:left="38"/>
              <w:rPr>
                <w:rFonts w:ascii="Microsoft Sans Serif"/>
                <w:b/>
                <w:sz w:val="20"/>
              </w:rPr>
            </w:pPr>
            <w:r>
              <w:rPr>
                <w:rFonts w:ascii="Microsoft Sans Serif"/>
                <w:b/>
                <w:spacing w:val="2"/>
                <w:sz w:val="20"/>
              </w:rPr>
              <w:t>Total</w:t>
            </w:r>
            <w:r>
              <w:rPr>
                <w:rFonts w:ascii="Microsoft Sans Serif"/>
                <w:b/>
                <w:spacing w:val="3"/>
                <w:sz w:val="20"/>
              </w:rPr>
              <w:t> </w:t>
            </w:r>
            <w:r>
              <w:rPr>
                <w:rFonts w:ascii="Microsoft Sans Serif"/>
                <w:b/>
                <w:sz w:val="20"/>
              </w:rPr>
              <w:t>Fee</w:t>
            </w:r>
            <w:r>
              <w:rPr>
                <w:rFonts w:ascii="Microsoft Sans Serif"/>
                <w:b/>
                <w:spacing w:val="3"/>
                <w:sz w:val="20"/>
              </w:rPr>
              <w:t> </w:t>
            </w:r>
            <w:r>
              <w:rPr>
                <w:rFonts w:ascii="Microsoft Sans Serif"/>
                <w:b/>
                <w:sz w:val="20"/>
              </w:rPr>
              <w:t>Revenue</w:t>
              <w:tab/>
              <w:t>91,200</w:t>
            </w:r>
          </w:p>
        </w:tc>
        <w:tc>
          <w:tcPr>
            <w:tcW w:w="1085" w:type="dxa"/>
            <w:tcBorders>
              <w:top w:val="single" w:sz="8" w:space="0" w:color="000000"/>
            </w:tcBorders>
          </w:tcPr>
          <w:p>
            <w:pPr>
              <w:pStyle w:val="TableParagraph"/>
              <w:spacing w:line="206" w:lineRule="exact" w:before="19"/>
              <w:ind w:right="109"/>
              <w:jc w:val="right"/>
              <w:rPr>
                <w:rFonts w:ascii="Microsoft Sans Serif"/>
                <w:b/>
                <w:sz w:val="20"/>
              </w:rPr>
            </w:pPr>
            <w:r>
              <w:rPr>
                <w:rFonts w:ascii="Microsoft Sans Serif"/>
                <w:b/>
                <w:sz w:val="20"/>
              </w:rPr>
              <w:t>91,110</w:t>
            </w:r>
          </w:p>
        </w:tc>
      </w:tr>
    </w:tbl>
    <w:p>
      <w:pPr>
        <w:spacing w:line="240" w:lineRule="auto" w:before="5"/>
        <w:rPr>
          <w:sz w:val="27"/>
        </w:rPr>
      </w:pPr>
      <w:r>
        <w:rPr/>
        <w:pict>
          <v:shape style="position:absolute;margin-left:46.362202pt;margin-top:17.766914pt;width:313.150pt;height:25.8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63"/>
                  </w:tblGrid>
                  <w:tr>
                    <w:trPr>
                      <w:trHeight w:val="257" w:hRule="atLeast"/>
                    </w:trPr>
                    <w:tc>
                      <w:tcPr>
                        <w:tcW w:w="6263" w:type="dxa"/>
                      </w:tcPr>
                      <w:p>
                        <w:pPr>
                          <w:pStyle w:val="TableParagraph"/>
                          <w:spacing w:line="226" w:lineRule="exact"/>
                          <w:ind w:left="200"/>
                          <w:rPr>
                            <w:rFonts w:ascii="Microsoft Sans Serif"/>
                            <w:sz w:val="20"/>
                          </w:rPr>
                        </w:pPr>
                        <w:r>
                          <w:rPr>
                            <w:rFonts w:ascii="Microsoft Sans Serif"/>
                            <w:sz w:val="20"/>
                          </w:rPr>
                          <w:t>3321-Registration-Webcast (section InReach revenue) (zero'd out)</w:t>
                        </w:r>
                      </w:p>
                    </w:tc>
                  </w:tr>
                  <w:tr>
                    <w:trPr>
                      <w:trHeight w:val="257" w:hRule="atLeast"/>
                    </w:trPr>
                    <w:tc>
                      <w:tcPr>
                        <w:tcW w:w="6263" w:type="dxa"/>
                      </w:tcPr>
                      <w:p>
                        <w:pPr>
                          <w:pStyle w:val="TableParagraph"/>
                          <w:spacing w:line="206" w:lineRule="exact" w:before="31"/>
                          <w:ind w:left="200"/>
                          <w:rPr>
                            <w:rFonts w:ascii="Microsoft Sans Serif"/>
                            <w:b/>
                            <w:sz w:val="20"/>
                          </w:rPr>
                        </w:pPr>
                        <w:r>
                          <w:rPr>
                            <w:rFonts w:ascii="Microsoft Sans Serif"/>
                            <w:b/>
                            <w:sz w:val="20"/>
                          </w:rPr>
                          <w:t>Total Registration Revenue</w:t>
                        </w:r>
                      </w:p>
                    </w:tc>
                  </w:tr>
                </w:tbl>
                <w:p>
                  <w:pPr>
                    <w:pStyle w:val="BodyText"/>
                  </w:pPr>
                </w:p>
              </w:txbxContent>
            </v:textbox>
            <w10:wrap type="topAndBottom"/>
          </v:shape>
        </w:pict>
      </w:r>
      <w:r>
        <w:rPr/>
        <w:pict>
          <v:shape style="position:absolute;margin-left:422.962189pt;margin-top:17.766914pt;width:116.8pt;height:25.8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5"/>
                  </w:tblGrid>
                  <w:tr>
                    <w:trPr>
                      <w:trHeight w:val="250" w:hRule="atLeast"/>
                    </w:trPr>
                    <w:tc>
                      <w:tcPr>
                        <w:tcW w:w="2335" w:type="dxa"/>
                        <w:tcBorders>
                          <w:bottom w:val="single" w:sz="8" w:space="0" w:color="000000"/>
                        </w:tcBorders>
                      </w:tcPr>
                      <w:p>
                        <w:pPr>
                          <w:pStyle w:val="TableParagraph"/>
                          <w:spacing w:line="226" w:lineRule="exact"/>
                          <w:ind w:right="105"/>
                          <w:jc w:val="right"/>
                          <w:rPr>
                            <w:rFonts w:ascii="Microsoft Sans Serif"/>
                            <w:sz w:val="20"/>
                          </w:rPr>
                        </w:pPr>
                        <w:r>
                          <w:rPr>
                            <w:rFonts w:ascii="Microsoft Sans Serif"/>
                            <w:w w:val="95"/>
                            <w:sz w:val="20"/>
                          </w:rPr>
                          <w:t>900</w:t>
                        </w:r>
                      </w:p>
                    </w:tc>
                  </w:tr>
                  <w:tr>
                    <w:trPr>
                      <w:trHeight w:val="245" w:hRule="atLeast"/>
                    </w:trPr>
                    <w:tc>
                      <w:tcPr>
                        <w:tcW w:w="2335" w:type="dxa"/>
                        <w:tcBorders>
                          <w:top w:val="single" w:sz="8" w:space="0" w:color="000000"/>
                        </w:tcBorders>
                      </w:tcPr>
                      <w:p>
                        <w:pPr>
                          <w:pStyle w:val="TableParagraph"/>
                          <w:spacing w:line="206" w:lineRule="exact" w:before="19"/>
                          <w:ind w:right="108"/>
                          <w:jc w:val="right"/>
                          <w:rPr>
                            <w:rFonts w:ascii="Microsoft Sans Serif"/>
                            <w:b/>
                            <w:sz w:val="20"/>
                          </w:rPr>
                        </w:pPr>
                        <w:r>
                          <w:rPr>
                            <w:rFonts w:ascii="Microsoft Sans Serif"/>
                            <w:b/>
                            <w:sz w:val="20"/>
                          </w:rPr>
                          <w:t>900</w:t>
                        </w:r>
                      </w:p>
                    </w:tc>
                  </w:tr>
                </w:tbl>
                <w:p>
                  <w:pPr>
                    <w:pStyle w:val="BodyText"/>
                  </w:pPr>
                </w:p>
              </w:txbxContent>
            </v:textbox>
            <w10:wrap type="topAndBottom"/>
          </v:shape>
        </w:pict>
      </w:r>
    </w:p>
    <w:p>
      <w:pPr>
        <w:spacing w:line="240" w:lineRule="auto" w:before="6" w:after="1"/>
        <w:rPr>
          <w:sz w:val="29"/>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2"/>
        <w:gridCol w:w="1332"/>
        <w:gridCol w:w="1004"/>
      </w:tblGrid>
      <w:tr>
        <w:trPr>
          <w:trHeight w:val="257" w:hRule="atLeast"/>
        </w:trPr>
        <w:tc>
          <w:tcPr>
            <w:tcW w:w="7532" w:type="dxa"/>
          </w:tcPr>
          <w:p>
            <w:pPr>
              <w:pStyle w:val="TableParagraph"/>
              <w:spacing w:line="226" w:lineRule="exact"/>
              <w:ind w:left="200"/>
              <w:rPr>
                <w:rFonts w:ascii="Microsoft Sans Serif"/>
                <w:sz w:val="20"/>
              </w:rPr>
            </w:pPr>
            <w:r>
              <w:rPr>
                <w:rFonts w:ascii="Microsoft Sans Serif"/>
                <w:sz w:val="20"/>
              </w:rPr>
              <w:t>3351-Sponsorships (sponsor or exhibitor revenue)</w:t>
            </w:r>
          </w:p>
        </w:tc>
        <w:tc>
          <w:tcPr>
            <w:tcW w:w="1332" w:type="dxa"/>
          </w:tcPr>
          <w:p>
            <w:pPr>
              <w:pStyle w:val="TableParagraph"/>
              <w:spacing w:line="226" w:lineRule="exact"/>
              <w:ind w:right="269"/>
              <w:jc w:val="right"/>
              <w:rPr>
                <w:rFonts w:ascii="Microsoft Sans Serif"/>
                <w:sz w:val="20"/>
              </w:rPr>
            </w:pPr>
            <w:r>
              <w:rPr>
                <w:rFonts w:ascii="Microsoft Sans Serif"/>
                <w:w w:val="95"/>
                <w:sz w:val="20"/>
              </w:rPr>
              <w:t>2,500</w:t>
            </w:r>
          </w:p>
        </w:tc>
        <w:tc>
          <w:tcPr>
            <w:tcW w:w="1004" w:type="dxa"/>
          </w:tcPr>
          <w:p>
            <w:pPr>
              <w:pStyle w:val="TableParagraph"/>
              <w:rPr>
                <w:sz w:val="18"/>
              </w:rPr>
            </w:pPr>
          </w:p>
        </w:tc>
      </w:tr>
      <w:tr>
        <w:trPr>
          <w:trHeight w:val="290" w:hRule="atLeast"/>
        </w:trPr>
        <w:tc>
          <w:tcPr>
            <w:tcW w:w="7532" w:type="dxa"/>
          </w:tcPr>
          <w:p>
            <w:pPr>
              <w:pStyle w:val="TableParagraph"/>
              <w:tabs>
                <w:tab w:pos="3484" w:val="left" w:leader="hyphen"/>
              </w:tabs>
              <w:spacing w:before="31"/>
              <w:ind w:left="200"/>
              <w:rPr>
                <w:rFonts w:ascii="Microsoft Sans Serif"/>
                <w:sz w:val="20"/>
              </w:rPr>
            </w:pPr>
            <w:r>
              <w:rPr>
                <w:rFonts w:ascii="Microsoft Sans Serif"/>
                <w:sz w:val="20"/>
              </w:rPr>
              <w:t>3391 Section Profit Split</w:t>
            </w:r>
            <w:r>
              <w:rPr>
                <w:rFonts w:ascii="Microsoft Sans Serif"/>
                <w:spacing w:val="-17"/>
                <w:sz w:val="20"/>
              </w:rPr>
              <w:t> </w:t>
            </w:r>
            <w:r>
              <w:rPr>
                <w:rFonts w:ascii="Microsoft Sans Serif"/>
                <w:sz w:val="20"/>
              </w:rPr>
              <w:t>(Joint</w:t>
            </w:r>
            <w:r>
              <w:rPr>
                <w:rFonts w:ascii="Microsoft Sans Serif"/>
                <w:spacing w:val="-4"/>
                <w:sz w:val="20"/>
              </w:rPr>
              <w:t> </w:t>
            </w:r>
            <w:r>
              <w:rPr>
                <w:rFonts w:ascii="Microsoft Sans Serif"/>
                <w:sz w:val="20"/>
              </w:rPr>
              <w:t>CLE</w:t>
              <w:tab/>
              <w:t>80-20 split with CLE</w:t>
            </w:r>
            <w:r>
              <w:rPr>
                <w:rFonts w:ascii="Microsoft Sans Serif"/>
                <w:spacing w:val="-7"/>
                <w:sz w:val="20"/>
              </w:rPr>
              <w:t> </w:t>
            </w:r>
            <w:r>
              <w:rPr>
                <w:rFonts w:ascii="Microsoft Sans Serif"/>
                <w:sz w:val="20"/>
              </w:rPr>
              <w:t>Committee)</w:t>
            </w:r>
          </w:p>
        </w:tc>
        <w:tc>
          <w:tcPr>
            <w:tcW w:w="1332" w:type="dxa"/>
          </w:tcPr>
          <w:p>
            <w:pPr>
              <w:pStyle w:val="TableParagraph"/>
              <w:spacing w:before="31"/>
              <w:ind w:right="269"/>
              <w:jc w:val="right"/>
              <w:rPr>
                <w:rFonts w:ascii="Microsoft Sans Serif"/>
                <w:sz w:val="20"/>
              </w:rPr>
            </w:pPr>
            <w:r>
              <w:rPr>
                <w:rFonts w:ascii="Microsoft Sans Serif"/>
                <w:w w:val="95"/>
                <w:sz w:val="20"/>
              </w:rPr>
              <w:t>11,538</w:t>
            </w:r>
          </w:p>
        </w:tc>
        <w:tc>
          <w:tcPr>
            <w:tcW w:w="1004" w:type="dxa"/>
          </w:tcPr>
          <w:p>
            <w:pPr>
              <w:pStyle w:val="TableParagraph"/>
              <w:spacing w:before="31"/>
              <w:ind w:right="107"/>
              <w:jc w:val="right"/>
              <w:rPr>
                <w:rFonts w:ascii="Microsoft Sans Serif"/>
                <w:sz w:val="20"/>
              </w:rPr>
            </w:pPr>
            <w:r>
              <w:rPr>
                <w:rFonts w:ascii="Microsoft Sans Serif"/>
                <w:w w:val="95"/>
                <w:sz w:val="20"/>
              </w:rPr>
              <w:t>49,000</w:t>
            </w:r>
          </w:p>
        </w:tc>
      </w:tr>
      <w:tr>
        <w:trPr>
          <w:trHeight w:val="282" w:hRule="atLeast"/>
        </w:trPr>
        <w:tc>
          <w:tcPr>
            <w:tcW w:w="7532" w:type="dxa"/>
          </w:tcPr>
          <w:p>
            <w:pPr>
              <w:pStyle w:val="TableParagraph"/>
              <w:spacing w:before="31"/>
              <w:ind w:left="200"/>
              <w:rPr>
                <w:rFonts w:ascii="Microsoft Sans Serif"/>
                <w:sz w:val="20"/>
              </w:rPr>
            </w:pPr>
            <w:r>
              <w:rPr>
                <w:rFonts w:ascii="Microsoft Sans Serif"/>
                <w:sz w:val="20"/>
              </w:rPr>
              <w:t>3392-Section Differential (Joint CLE - Difference in member/non-member fees)</w:t>
            </w:r>
          </w:p>
        </w:tc>
        <w:tc>
          <w:tcPr>
            <w:tcW w:w="1332" w:type="dxa"/>
            <w:tcBorders>
              <w:bottom w:val="single" w:sz="8" w:space="0" w:color="000000"/>
            </w:tcBorders>
          </w:tcPr>
          <w:p>
            <w:pPr>
              <w:pStyle w:val="TableParagraph"/>
              <w:spacing w:before="31"/>
              <w:ind w:right="269"/>
              <w:jc w:val="right"/>
              <w:rPr>
                <w:rFonts w:ascii="Microsoft Sans Serif"/>
                <w:sz w:val="20"/>
              </w:rPr>
            </w:pPr>
            <w:r>
              <w:rPr>
                <w:rFonts w:ascii="Microsoft Sans Serif"/>
                <w:w w:val="95"/>
                <w:sz w:val="20"/>
              </w:rPr>
              <w:t>1,718</w:t>
            </w:r>
          </w:p>
        </w:tc>
        <w:tc>
          <w:tcPr>
            <w:tcW w:w="1004" w:type="dxa"/>
            <w:tcBorders>
              <w:bottom w:val="single" w:sz="8" w:space="0" w:color="000000"/>
            </w:tcBorders>
          </w:tcPr>
          <w:p>
            <w:pPr>
              <w:pStyle w:val="TableParagraph"/>
              <w:spacing w:before="31"/>
              <w:ind w:right="107"/>
              <w:jc w:val="right"/>
              <w:rPr>
                <w:rFonts w:ascii="Microsoft Sans Serif"/>
                <w:sz w:val="20"/>
              </w:rPr>
            </w:pPr>
            <w:r>
              <w:rPr>
                <w:rFonts w:ascii="Microsoft Sans Serif"/>
                <w:w w:val="95"/>
                <w:sz w:val="20"/>
              </w:rPr>
              <w:t>5,200</w:t>
            </w:r>
          </w:p>
        </w:tc>
      </w:tr>
      <w:tr>
        <w:trPr>
          <w:trHeight w:val="245" w:hRule="atLeast"/>
        </w:trPr>
        <w:tc>
          <w:tcPr>
            <w:tcW w:w="7532" w:type="dxa"/>
          </w:tcPr>
          <w:p>
            <w:pPr>
              <w:pStyle w:val="TableParagraph"/>
              <w:spacing w:line="206" w:lineRule="exact" w:before="19"/>
              <w:ind w:left="200"/>
              <w:rPr>
                <w:rFonts w:ascii="Microsoft Sans Serif"/>
                <w:b/>
                <w:sz w:val="20"/>
              </w:rPr>
            </w:pPr>
            <w:r>
              <w:rPr>
                <w:rFonts w:ascii="Microsoft Sans Serif"/>
                <w:b/>
                <w:sz w:val="20"/>
              </w:rPr>
              <w:t>Other Event Revenue</w:t>
            </w:r>
          </w:p>
        </w:tc>
        <w:tc>
          <w:tcPr>
            <w:tcW w:w="1332" w:type="dxa"/>
            <w:tcBorders>
              <w:top w:val="single" w:sz="8" w:space="0" w:color="000000"/>
            </w:tcBorders>
          </w:tcPr>
          <w:p>
            <w:pPr>
              <w:pStyle w:val="TableParagraph"/>
              <w:spacing w:line="206" w:lineRule="exact" w:before="19"/>
              <w:ind w:right="271"/>
              <w:jc w:val="right"/>
              <w:rPr>
                <w:rFonts w:ascii="Microsoft Sans Serif"/>
                <w:b/>
                <w:sz w:val="20"/>
              </w:rPr>
            </w:pPr>
            <w:r>
              <w:rPr>
                <w:rFonts w:ascii="Microsoft Sans Serif"/>
                <w:b/>
                <w:sz w:val="20"/>
              </w:rPr>
              <w:t>15,756</w:t>
            </w:r>
          </w:p>
        </w:tc>
        <w:tc>
          <w:tcPr>
            <w:tcW w:w="1004" w:type="dxa"/>
            <w:tcBorders>
              <w:top w:val="single" w:sz="8" w:space="0" w:color="000000"/>
            </w:tcBorders>
          </w:tcPr>
          <w:p>
            <w:pPr>
              <w:pStyle w:val="TableParagraph"/>
              <w:spacing w:line="206" w:lineRule="exact" w:before="19"/>
              <w:ind w:right="109"/>
              <w:jc w:val="right"/>
              <w:rPr>
                <w:rFonts w:ascii="Microsoft Sans Serif"/>
                <w:b/>
                <w:sz w:val="20"/>
              </w:rPr>
            </w:pPr>
            <w:r>
              <w:rPr>
                <w:rFonts w:ascii="Microsoft Sans Serif"/>
                <w:b/>
                <w:sz w:val="20"/>
              </w:rPr>
              <w:t>54,200</w:t>
            </w:r>
          </w:p>
        </w:tc>
      </w:tr>
    </w:tbl>
    <w:p>
      <w:pPr>
        <w:spacing w:line="240" w:lineRule="auto" w:before="5"/>
        <w:rPr>
          <w:sz w:val="27"/>
        </w:rPr>
      </w:pPr>
      <w:r>
        <w:rPr/>
        <w:pict>
          <v:shape style="position:absolute;margin-left:46.362202pt;margin-top:17.766914pt;width:242.25pt;height:25.8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4"/>
                  </w:tblGrid>
                  <w:tr>
                    <w:trPr>
                      <w:trHeight w:val="257" w:hRule="atLeast"/>
                    </w:trPr>
                    <w:tc>
                      <w:tcPr>
                        <w:tcW w:w="4844" w:type="dxa"/>
                      </w:tcPr>
                      <w:p>
                        <w:pPr>
                          <w:pStyle w:val="TableParagraph"/>
                          <w:spacing w:line="226" w:lineRule="exact"/>
                          <w:ind w:left="200"/>
                          <w:rPr>
                            <w:rFonts w:ascii="Microsoft Sans Serif"/>
                            <w:sz w:val="20"/>
                          </w:rPr>
                        </w:pPr>
                        <w:r>
                          <w:rPr>
                            <w:rFonts w:ascii="Microsoft Sans Serif"/>
                            <w:sz w:val="20"/>
                          </w:rPr>
                          <w:t>3561-Advertising (advertising in Checkoff/website)</w:t>
                        </w:r>
                      </w:p>
                    </w:tc>
                  </w:tr>
                  <w:tr>
                    <w:trPr>
                      <w:trHeight w:val="257" w:hRule="atLeast"/>
                    </w:trPr>
                    <w:tc>
                      <w:tcPr>
                        <w:tcW w:w="4844" w:type="dxa"/>
                      </w:tcPr>
                      <w:p>
                        <w:pPr>
                          <w:pStyle w:val="TableParagraph"/>
                          <w:spacing w:line="206" w:lineRule="exact" w:before="31"/>
                          <w:ind w:left="200"/>
                          <w:rPr>
                            <w:rFonts w:ascii="Microsoft Sans Serif"/>
                            <w:b/>
                            <w:sz w:val="20"/>
                          </w:rPr>
                        </w:pPr>
                        <w:r>
                          <w:rPr>
                            <w:rFonts w:ascii="Microsoft Sans Serif"/>
                            <w:b/>
                            <w:sz w:val="20"/>
                          </w:rPr>
                          <w:t>Advertising &amp; Subscription Revenue</w:t>
                        </w:r>
                      </w:p>
                    </w:tc>
                  </w:tr>
                </w:tbl>
                <w:p>
                  <w:pPr>
                    <w:pStyle w:val="BodyText"/>
                  </w:pPr>
                </w:p>
              </w:txbxContent>
            </v:textbox>
            <w10:wrap type="topAndBottom"/>
          </v:shape>
        </w:pict>
      </w:r>
      <w:r>
        <w:rPr/>
        <w:pict>
          <v:shape style="position:absolute;margin-left:422.962189pt;margin-top:17.766914pt;width:116.8pt;height:25.8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9"/>
                    <w:gridCol w:w="947"/>
                  </w:tblGrid>
                  <w:tr>
                    <w:trPr>
                      <w:trHeight w:val="250" w:hRule="atLeast"/>
                    </w:trPr>
                    <w:tc>
                      <w:tcPr>
                        <w:tcW w:w="1389" w:type="dxa"/>
                        <w:tcBorders>
                          <w:bottom w:val="single" w:sz="8" w:space="0" w:color="000000"/>
                        </w:tcBorders>
                      </w:tcPr>
                      <w:p>
                        <w:pPr>
                          <w:pStyle w:val="TableParagraph"/>
                          <w:spacing w:line="226" w:lineRule="exact"/>
                          <w:ind w:right="325"/>
                          <w:jc w:val="right"/>
                          <w:rPr>
                            <w:rFonts w:ascii="Microsoft Sans Serif"/>
                            <w:sz w:val="20"/>
                          </w:rPr>
                        </w:pPr>
                        <w:r>
                          <w:rPr>
                            <w:rFonts w:ascii="Microsoft Sans Serif"/>
                            <w:w w:val="99"/>
                            <w:sz w:val="20"/>
                          </w:rPr>
                          <w:t>0</w:t>
                        </w:r>
                      </w:p>
                    </w:tc>
                    <w:tc>
                      <w:tcPr>
                        <w:tcW w:w="947" w:type="dxa"/>
                        <w:tcBorders>
                          <w:bottom w:val="single" w:sz="8" w:space="0" w:color="000000"/>
                        </w:tcBorders>
                      </w:tcPr>
                      <w:p>
                        <w:pPr>
                          <w:pStyle w:val="TableParagraph"/>
                          <w:spacing w:line="226" w:lineRule="exact"/>
                          <w:ind w:right="107"/>
                          <w:jc w:val="right"/>
                          <w:rPr>
                            <w:rFonts w:ascii="Microsoft Sans Serif"/>
                            <w:sz w:val="20"/>
                          </w:rPr>
                        </w:pPr>
                        <w:r>
                          <w:rPr>
                            <w:rFonts w:ascii="Microsoft Sans Serif"/>
                            <w:w w:val="95"/>
                            <w:sz w:val="20"/>
                          </w:rPr>
                          <w:t>1,900</w:t>
                        </w:r>
                      </w:p>
                    </w:tc>
                  </w:tr>
                  <w:tr>
                    <w:trPr>
                      <w:trHeight w:val="245" w:hRule="atLeast"/>
                    </w:trPr>
                    <w:tc>
                      <w:tcPr>
                        <w:tcW w:w="1389" w:type="dxa"/>
                        <w:tcBorders>
                          <w:top w:val="single" w:sz="8" w:space="0" w:color="000000"/>
                        </w:tcBorders>
                      </w:tcPr>
                      <w:p>
                        <w:pPr>
                          <w:pStyle w:val="TableParagraph"/>
                          <w:spacing w:line="206" w:lineRule="exact" w:before="19"/>
                          <w:ind w:right="330"/>
                          <w:jc w:val="right"/>
                          <w:rPr>
                            <w:rFonts w:ascii="Microsoft Sans Serif"/>
                            <w:b/>
                            <w:sz w:val="20"/>
                          </w:rPr>
                        </w:pPr>
                        <w:r>
                          <w:rPr>
                            <w:rFonts w:ascii="Microsoft Sans Serif"/>
                            <w:b/>
                            <w:w w:val="99"/>
                            <w:sz w:val="20"/>
                          </w:rPr>
                          <w:t>0</w:t>
                        </w:r>
                      </w:p>
                    </w:tc>
                    <w:tc>
                      <w:tcPr>
                        <w:tcW w:w="947" w:type="dxa"/>
                        <w:tcBorders>
                          <w:top w:val="single" w:sz="8" w:space="0" w:color="000000"/>
                        </w:tcBorders>
                      </w:tcPr>
                      <w:p>
                        <w:pPr>
                          <w:pStyle w:val="TableParagraph"/>
                          <w:spacing w:line="206" w:lineRule="exact" w:before="19"/>
                          <w:ind w:right="109"/>
                          <w:jc w:val="right"/>
                          <w:rPr>
                            <w:rFonts w:ascii="Microsoft Sans Serif"/>
                            <w:b/>
                            <w:sz w:val="20"/>
                          </w:rPr>
                        </w:pPr>
                        <w:r>
                          <w:rPr>
                            <w:rFonts w:ascii="Microsoft Sans Serif"/>
                            <w:b/>
                            <w:sz w:val="20"/>
                          </w:rPr>
                          <w:t>1,900</w:t>
                        </w:r>
                      </w:p>
                    </w:tc>
                  </w:tr>
                </w:tbl>
                <w:p>
                  <w:pPr>
                    <w:pStyle w:val="BodyText"/>
                  </w:pPr>
                </w:p>
              </w:txbxContent>
            </v:textbox>
            <w10:wrap type="topAndBottom"/>
          </v:shape>
        </w:pict>
      </w:r>
    </w:p>
    <w:p>
      <w:pPr>
        <w:spacing w:line="240" w:lineRule="auto" w:before="6" w:after="1"/>
        <w:rPr>
          <w:sz w:val="29"/>
        </w:rPr>
      </w:pPr>
    </w:p>
    <w:tbl>
      <w:tblPr>
        <w:tblW w:w="0" w:type="auto"/>
        <w:jc w:val="left"/>
        <w:tblInd w:w="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82"/>
        <w:gridCol w:w="1365"/>
        <w:gridCol w:w="970"/>
      </w:tblGrid>
      <w:tr>
        <w:trPr>
          <w:trHeight w:val="250" w:hRule="atLeast"/>
        </w:trPr>
        <w:tc>
          <w:tcPr>
            <w:tcW w:w="7382" w:type="dxa"/>
          </w:tcPr>
          <w:p>
            <w:pPr>
              <w:pStyle w:val="TableParagraph"/>
              <w:spacing w:line="226" w:lineRule="exact"/>
              <w:ind w:left="50"/>
              <w:rPr>
                <w:rFonts w:ascii="Microsoft Sans Serif"/>
                <w:sz w:val="20"/>
              </w:rPr>
            </w:pPr>
            <w:r>
              <w:rPr>
                <w:rFonts w:ascii="Microsoft Sans Serif"/>
                <w:sz w:val="20"/>
              </w:rPr>
              <w:t>3899-Investment Allocation (Bar's investment of section funds)</w:t>
            </w:r>
          </w:p>
        </w:tc>
        <w:tc>
          <w:tcPr>
            <w:tcW w:w="1365" w:type="dxa"/>
            <w:tcBorders>
              <w:bottom w:val="single" w:sz="8" w:space="0" w:color="000000"/>
            </w:tcBorders>
          </w:tcPr>
          <w:p>
            <w:pPr>
              <w:pStyle w:val="TableParagraph"/>
              <w:spacing w:line="226" w:lineRule="exact"/>
              <w:ind w:right="236"/>
              <w:jc w:val="right"/>
              <w:rPr>
                <w:rFonts w:ascii="Microsoft Sans Serif"/>
                <w:sz w:val="20"/>
              </w:rPr>
            </w:pPr>
            <w:r>
              <w:rPr>
                <w:rFonts w:ascii="Microsoft Sans Serif"/>
                <w:w w:val="95"/>
                <w:sz w:val="20"/>
              </w:rPr>
              <w:t>(3,252)</w:t>
            </w:r>
          </w:p>
        </w:tc>
        <w:tc>
          <w:tcPr>
            <w:tcW w:w="970" w:type="dxa"/>
            <w:tcBorders>
              <w:bottom w:val="single" w:sz="8" w:space="0" w:color="000000"/>
            </w:tcBorders>
          </w:tcPr>
          <w:p>
            <w:pPr>
              <w:pStyle w:val="TableParagraph"/>
              <w:spacing w:line="226" w:lineRule="exact"/>
              <w:ind w:right="106"/>
              <w:jc w:val="right"/>
              <w:rPr>
                <w:rFonts w:ascii="Microsoft Sans Serif"/>
                <w:sz w:val="20"/>
              </w:rPr>
            </w:pPr>
            <w:r>
              <w:rPr>
                <w:rFonts w:ascii="Microsoft Sans Serif"/>
                <w:w w:val="95"/>
                <w:sz w:val="20"/>
              </w:rPr>
              <w:t>11,197</w:t>
            </w:r>
          </w:p>
        </w:tc>
      </w:tr>
      <w:tr>
        <w:trPr>
          <w:trHeight w:val="245" w:hRule="atLeast"/>
        </w:trPr>
        <w:tc>
          <w:tcPr>
            <w:tcW w:w="7382" w:type="dxa"/>
          </w:tcPr>
          <w:p>
            <w:pPr>
              <w:pStyle w:val="TableParagraph"/>
              <w:spacing w:line="206" w:lineRule="exact" w:before="19"/>
              <w:ind w:left="50"/>
              <w:rPr>
                <w:rFonts w:ascii="Microsoft Sans Serif"/>
                <w:b/>
                <w:sz w:val="20"/>
              </w:rPr>
            </w:pPr>
            <w:r>
              <w:rPr>
                <w:rFonts w:ascii="Microsoft Sans Serif"/>
                <w:b/>
                <w:sz w:val="20"/>
              </w:rPr>
              <w:t>Non-Operating Income</w:t>
            </w:r>
          </w:p>
        </w:tc>
        <w:tc>
          <w:tcPr>
            <w:tcW w:w="1365" w:type="dxa"/>
            <w:tcBorders>
              <w:top w:val="single" w:sz="8" w:space="0" w:color="000000"/>
            </w:tcBorders>
          </w:tcPr>
          <w:p>
            <w:pPr>
              <w:pStyle w:val="TableParagraph"/>
              <w:spacing w:line="206" w:lineRule="exact" w:before="19"/>
              <w:ind w:right="236"/>
              <w:jc w:val="right"/>
              <w:rPr>
                <w:rFonts w:ascii="Microsoft Sans Serif"/>
                <w:b/>
                <w:sz w:val="20"/>
              </w:rPr>
            </w:pPr>
            <w:r>
              <w:rPr>
                <w:rFonts w:ascii="Microsoft Sans Serif"/>
                <w:b/>
                <w:sz w:val="20"/>
              </w:rPr>
              <w:t>(3,252)</w:t>
            </w:r>
          </w:p>
        </w:tc>
        <w:tc>
          <w:tcPr>
            <w:tcW w:w="970" w:type="dxa"/>
            <w:tcBorders>
              <w:top w:val="single" w:sz="8" w:space="0" w:color="000000"/>
            </w:tcBorders>
          </w:tcPr>
          <w:p>
            <w:pPr>
              <w:pStyle w:val="TableParagraph"/>
              <w:spacing w:line="206" w:lineRule="exact" w:before="19"/>
              <w:ind w:right="108"/>
              <w:jc w:val="right"/>
              <w:rPr>
                <w:rFonts w:ascii="Microsoft Sans Serif"/>
                <w:b/>
                <w:sz w:val="20"/>
              </w:rPr>
            </w:pPr>
            <w:r>
              <w:rPr>
                <w:rFonts w:ascii="Microsoft Sans Serif"/>
                <w:b/>
                <w:sz w:val="20"/>
              </w:rPr>
              <w:t>11,197</w:t>
            </w:r>
          </w:p>
        </w:tc>
      </w:tr>
    </w:tbl>
    <w:p>
      <w:pPr>
        <w:spacing w:line="240" w:lineRule="auto" w:before="0"/>
        <w:rPr>
          <w:sz w:val="24"/>
        </w:rPr>
      </w:pPr>
      <w:r>
        <w:rPr/>
        <w:pict>
          <v:shape style="position:absolute;margin-left:422.962189pt;margin-top:16.268990pt;width:116.8pt;height:.1pt;mso-position-horizontal-relative:page;mso-position-vertical-relative:paragraph;z-index:-251657216;mso-wrap-distance-left:0;mso-wrap-distance-right:0" coordorigin="8459,325" coordsize="2336,0" path="m8459,325l10794,325e" filled="false" stroked="true" strokeweight=".959pt" strokecolor="#000000">
            <v:path arrowok="t"/>
            <v:stroke dashstyle="solid"/>
            <w10:wrap type="topAndBottom"/>
          </v:shape>
        </w:pict>
      </w:r>
    </w:p>
    <w:p>
      <w:pPr>
        <w:spacing w:line="240" w:lineRule="auto" w:before="0" w:after="0"/>
        <w:rPr>
          <w:sz w:val="21"/>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2"/>
        <w:gridCol w:w="1332"/>
        <w:gridCol w:w="1003"/>
      </w:tblGrid>
      <w:tr>
        <w:trPr>
          <w:trHeight w:val="568" w:hRule="atLeast"/>
        </w:trPr>
        <w:tc>
          <w:tcPr>
            <w:tcW w:w="7532" w:type="dxa"/>
          </w:tcPr>
          <w:p>
            <w:pPr>
              <w:pStyle w:val="TableParagraph"/>
              <w:spacing w:before="10"/>
              <w:rPr>
                <w:sz w:val="26"/>
              </w:rPr>
            </w:pPr>
          </w:p>
          <w:p>
            <w:pPr>
              <w:pStyle w:val="TableParagraph"/>
              <w:ind w:left="200"/>
              <w:rPr>
                <w:rFonts w:ascii="Microsoft Sans Serif"/>
                <w:sz w:val="20"/>
              </w:rPr>
            </w:pPr>
            <w:r>
              <w:rPr>
                <w:rFonts w:ascii="Microsoft Sans Serif"/>
                <w:sz w:val="20"/>
              </w:rPr>
              <w:t>4131-Telephone Expense (business phone - split among 3 sections)</w:t>
            </w:r>
          </w:p>
        </w:tc>
        <w:tc>
          <w:tcPr>
            <w:tcW w:w="1332" w:type="dxa"/>
            <w:tcBorders>
              <w:top w:val="single" w:sz="8" w:space="0" w:color="000000"/>
            </w:tcBorders>
          </w:tcPr>
          <w:p>
            <w:pPr>
              <w:pStyle w:val="TableParagraph"/>
              <w:rPr>
                <w:sz w:val="18"/>
              </w:rPr>
            </w:pPr>
          </w:p>
        </w:tc>
        <w:tc>
          <w:tcPr>
            <w:tcW w:w="1003" w:type="dxa"/>
            <w:tcBorders>
              <w:top w:val="single" w:sz="8" w:space="0" w:color="000000"/>
            </w:tcBorders>
          </w:tcPr>
          <w:p>
            <w:pPr>
              <w:pStyle w:val="TableParagraph"/>
              <w:spacing w:before="10"/>
              <w:rPr>
                <w:sz w:val="26"/>
              </w:rPr>
            </w:pPr>
          </w:p>
          <w:p>
            <w:pPr>
              <w:pStyle w:val="TableParagraph"/>
              <w:ind w:right="105"/>
              <w:jc w:val="right"/>
              <w:rPr>
                <w:rFonts w:ascii="Microsoft Sans Serif"/>
                <w:sz w:val="20"/>
              </w:rPr>
            </w:pPr>
            <w:r>
              <w:rPr>
                <w:rFonts w:ascii="Microsoft Sans Serif"/>
                <w:w w:val="95"/>
                <w:sz w:val="20"/>
              </w:rPr>
              <w:t>800</w:t>
            </w:r>
          </w:p>
        </w:tc>
      </w:tr>
      <w:tr>
        <w:trPr>
          <w:trHeight w:val="290" w:hRule="atLeast"/>
        </w:trPr>
        <w:tc>
          <w:tcPr>
            <w:tcW w:w="7532" w:type="dxa"/>
          </w:tcPr>
          <w:p>
            <w:pPr>
              <w:pStyle w:val="TableParagraph"/>
              <w:spacing w:before="31"/>
              <w:ind w:left="200"/>
              <w:rPr>
                <w:rFonts w:ascii="Microsoft Sans Serif"/>
                <w:sz w:val="20"/>
              </w:rPr>
            </w:pPr>
            <w:r>
              <w:rPr>
                <w:rFonts w:ascii="Microsoft Sans Serif"/>
                <w:sz w:val="20"/>
              </w:rPr>
              <w:t>4133-Internet Service (section wifi - split among 3 sections)</w:t>
            </w:r>
          </w:p>
        </w:tc>
        <w:tc>
          <w:tcPr>
            <w:tcW w:w="1332" w:type="dxa"/>
          </w:tcPr>
          <w:p>
            <w:pPr>
              <w:pStyle w:val="TableParagraph"/>
              <w:rPr>
                <w:sz w:val="18"/>
              </w:rPr>
            </w:pPr>
          </w:p>
        </w:tc>
        <w:tc>
          <w:tcPr>
            <w:tcW w:w="1003" w:type="dxa"/>
          </w:tcPr>
          <w:p>
            <w:pPr>
              <w:pStyle w:val="TableParagraph"/>
              <w:spacing w:before="31"/>
              <w:ind w:right="105"/>
              <w:jc w:val="right"/>
              <w:rPr>
                <w:rFonts w:ascii="Microsoft Sans Serif"/>
                <w:sz w:val="20"/>
              </w:rPr>
            </w:pPr>
            <w:r>
              <w:rPr>
                <w:rFonts w:ascii="Microsoft Sans Serif"/>
                <w:w w:val="95"/>
                <w:sz w:val="20"/>
              </w:rPr>
              <w:t>550</w:t>
            </w:r>
          </w:p>
        </w:tc>
      </w:tr>
      <w:tr>
        <w:trPr>
          <w:trHeight w:val="290" w:hRule="atLeast"/>
        </w:trPr>
        <w:tc>
          <w:tcPr>
            <w:tcW w:w="7532" w:type="dxa"/>
          </w:tcPr>
          <w:p>
            <w:pPr>
              <w:pStyle w:val="TableParagraph"/>
              <w:spacing w:before="31"/>
              <w:ind w:left="200"/>
              <w:rPr>
                <w:rFonts w:ascii="Microsoft Sans Serif"/>
                <w:sz w:val="20"/>
              </w:rPr>
            </w:pPr>
            <w:r>
              <w:rPr>
                <w:rFonts w:ascii="Microsoft Sans Serif"/>
                <w:sz w:val="20"/>
              </w:rPr>
              <w:t>4134-Web Services (website)</w:t>
            </w:r>
          </w:p>
        </w:tc>
        <w:tc>
          <w:tcPr>
            <w:tcW w:w="1332" w:type="dxa"/>
          </w:tcPr>
          <w:p>
            <w:pPr>
              <w:pStyle w:val="TableParagraph"/>
              <w:spacing w:before="31"/>
              <w:ind w:right="269"/>
              <w:jc w:val="right"/>
              <w:rPr>
                <w:rFonts w:ascii="Microsoft Sans Serif"/>
                <w:sz w:val="20"/>
              </w:rPr>
            </w:pPr>
            <w:r>
              <w:rPr>
                <w:rFonts w:ascii="Microsoft Sans Serif"/>
                <w:w w:val="95"/>
                <w:sz w:val="20"/>
              </w:rPr>
              <w:t>1,760</w:t>
            </w:r>
          </w:p>
        </w:tc>
        <w:tc>
          <w:tcPr>
            <w:tcW w:w="1003" w:type="dxa"/>
          </w:tcPr>
          <w:p>
            <w:pPr>
              <w:pStyle w:val="TableParagraph"/>
              <w:spacing w:before="31"/>
              <w:ind w:right="106"/>
              <w:jc w:val="right"/>
              <w:rPr>
                <w:rFonts w:ascii="Microsoft Sans Serif"/>
                <w:sz w:val="20"/>
              </w:rPr>
            </w:pPr>
            <w:r>
              <w:rPr>
                <w:rFonts w:ascii="Microsoft Sans Serif"/>
                <w:w w:val="95"/>
                <w:sz w:val="20"/>
              </w:rPr>
              <w:t>8,500</w:t>
            </w:r>
          </w:p>
        </w:tc>
      </w:tr>
      <w:tr>
        <w:trPr>
          <w:trHeight w:val="290" w:hRule="atLeast"/>
        </w:trPr>
        <w:tc>
          <w:tcPr>
            <w:tcW w:w="7532" w:type="dxa"/>
          </w:tcPr>
          <w:p>
            <w:pPr>
              <w:pStyle w:val="TableParagraph"/>
              <w:spacing w:before="31"/>
              <w:ind w:left="200"/>
              <w:rPr>
                <w:rFonts w:ascii="Microsoft Sans Serif"/>
                <w:sz w:val="20"/>
              </w:rPr>
            </w:pPr>
            <w:r>
              <w:rPr>
                <w:rFonts w:ascii="Microsoft Sans Serif"/>
                <w:sz w:val="20"/>
              </w:rPr>
              <w:t>4301-Photocopying (copying) (zero'd out)</w:t>
            </w:r>
          </w:p>
        </w:tc>
        <w:tc>
          <w:tcPr>
            <w:tcW w:w="1332" w:type="dxa"/>
          </w:tcPr>
          <w:p>
            <w:pPr>
              <w:pStyle w:val="TableParagraph"/>
              <w:rPr>
                <w:sz w:val="18"/>
              </w:rPr>
            </w:pPr>
          </w:p>
        </w:tc>
        <w:tc>
          <w:tcPr>
            <w:tcW w:w="1003" w:type="dxa"/>
          </w:tcPr>
          <w:p>
            <w:pPr>
              <w:pStyle w:val="TableParagraph"/>
              <w:spacing w:before="31"/>
              <w:ind w:right="105"/>
              <w:jc w:val="right"/>
              <w:rPr>
                <w:rFonts w:ascii="Microsoft Sans Serif"/>
                <w:sz w:val="20"/>
              </w:rPr>
            </w:pPr>
            <w:r>
              <w:rPr>
                <w:rFonts w:ascii="Microsoft Sans Serif"/>
                <w:w w:val="95"/>
                <w:sz w:val="20"/>
              </w:rPr>
              <w:t>165</w:t>
            </w:r>
          </w:p>
        </w:tc>
      </w:tr>
      <w:tr>
        <w:trPr>
          <w:trHeight w:val="282" w:hRule="atLeast"/>
        </w:trPr>
        <w:tc>
          <w:tcPr>
            <w:tcW w:w="7532" w:type="dxa"/>
          </w:tcPr>
          <w:p>
            <w:pPr>
              <w:pStyle w:val="TableParagraph"/>
              <w:spacing w:before="31"/>
              <w:ind w:left="200"/>
              <w:rPr>
                <w:rFonts w:ascii="Microsoft Sans Serif"/>
                <w:sz w:val="20"/>
              </w:rPr>
            </w:pPr>
            <w:r>
              <w:rPr>
                <w:rFonts w:ascii="Microsoft Sans Serif"/>
                <w:sz w:val="20"/>
              </w:rPr>
              <w:t>4311-Office Supplies (supplies, e.g. name badge holders)</w:t>
            </w:r>
          </w:p>
        </w:tc>
        <w:tc>
          <w:tcPr>
            <w:tcW w:w="1332" w:type="dxa"/>
            <w:tcBorders>
              <w:bottom w:val="single" w:sz="8" w:space="0" w:color="000000"/>
            </w:tcBorders>
          </w:tcPr>
          <w:p>
            <w:pPr>
              <w:pStyle w:val="TableParagraph"/>
              <w:spacing w:before="31"/>
              <w:ind w:right="269"/>
              <w:jc w:val="right"/>
              <w:rPr>
                <w:rFonts w:ascii="Microsoft Sans Serif"/>
                <w:sz w:val="20"/>
              </w:rPr>
            </w:pPr>
            <w:r>
              <w:rPr>
                <w:rFonts w:ascii="Microsoft Sans Serif"/>
                <w:w w:val="95"/>
                <w:sz w:val="20"/>
              </w:rPr>
              <w:t>78</w:t>
            </w:r>
          </w:p>
        </w:tc>
        <w:tc>
          <w:tcPr>
            <w:tcW w:w="1003" w:type="dxa"/>
            <w:tcBorders>
              <w:bottom w:val="single" w:sz="8" w:space="0" w:color="000000"/>
            </w:tcBorders>
          </w:tcPr>
          <w:p>
            <w:pPr>
              <w:pStyle w:val="TableParagraph"/>
              <w:spacing w:before="31"/>
              <w:ind w:right="105"/>
              <w:jc w:val="right"/>
              <w:rPr>
                <w:rFonts w:ascii="Microsoft Sans Serif"/>
                <w:sz w:val="20"/>
              </w:rPr>
            </w:pPr>
            <w:r>
              <w:rPr>
                <w:rFonts w:ascii="Microsoft Sans Serif"/>
                <w:w w:val="95"/>
                <w:sz w:val="20"/>
              </w:rPr>
              <w:t>400</w:t>
            </w:r>
          </w:p>
        </w:tc>
      </w:tr>
      <w:tr>
        <w:trPr>
          <w:trHeight w:val="245" w:hRule="atLeast"/>
        </w:trPr>
        <w:tc>
          <w:tcPr>
            <w:tcW w:w="7532" w:type="dxa"/>
          </w:tcPr>
          <w:p>
            <w:pPr>
              <w:pStyle w:val="TableParagraph"/>
              <w:spacing w:line="206" w:lineRule="exact" w:before="19"/>
              <w:ind w:left="200"/>
              <w:rPr>
                <w:rFonts w:ascii="Microsoft Sans Serif"/>
                <w:b/>
                <w:sz w:val="20"/>
              </w:rPr>
            </w:pPr>
            <w:r>
              <w:rPr>
                <w:rFonts w:ascii="Microsoft Sans Serif"/>
                <w:b/>
                <w:sz w:val="20"/>
              </w:rPr>
              <w:t>Total Staff &amp; Office Expense</w:t>
            </w:r>
          </w:p>
        </w:tc>
        <w:tc>
          <w:tcPr>
            <w:tcW w:w="1332" w:type="dxa"/>
            <w:tcBorders>
              <w:top w:val="single" w:sz="8" w:space="0" w:color="000000"/>
            </w:tcBorders>
          </w:tcPr>
          <w:p>
            <w:pPr>
              <w:pStyle w:val="TableParagraph"/>
              <w:spacing w:line="206" w:lineRule="exact" w:before="19"/>
              <w:ind w:right="271"/>
              <w:jc w:val="right"/>
              <w:rPr>
                <w:rFonts w:ascii="Microsoft Sans Serif"/>
                <w:b/>
                <w:sz w:val="20"/>
              </w:rPr>
            </w:pPr>
            <w:r>
              <w:rPr>
                <w:rFonts w:ascii="Microsoft Sans Serif"/>
                <w:b/>
                <w:sz w:val="20"/>
              </w:rPr>
              <w:t>1,838</w:t>
            </w:r>
          </w:p>
        </w:tc>
        <w:tc>
          <w:tcPr>
            <w:tcW w:w="1003" w:type="dxa"/>
            <w:tcBorders>
              <w:top w:val="single" w:sz="8" w:space="0" w:color="000000"/>
            </w:tcBorders>
          </w:tcPr>
          <w:p>
            <w:pPr>
              <w:pStyle w:val="TableParagraph"/>
              <w:spacing w:line="206" w:lineRule="exact" w:before="19"/>
              <w:ind w:right="108"/>
              <w:jc w:val="right"/>
              <w:rPr>
                <w:rFonts w:ascii="Microsoft Sans Serif"/>
                <w:b/>
                <w:sz w:val="20"/>
              </w:rPr>
            </w:pPr>
            <w:r>
              <w:rPr>
                <w:rFonts w:ascii="Microsoft Sans Serif"/>
                <w:b/>
                <w:sz w:val="20"/>
              </w:rPr>
              <w:t>10,415</w:t>
            </w:r>
          </w:p>
        </w:tc>
      </w:tr>
    </w:tbl>
    <w:p>
      <w:pPr>
        <w:spacing w:line="240" w:lineRule="auto" w:before="0"/>
        <w:rPr>
          <w:sz w:val="20"/>
        </w:rPr>
      </w:pPr>
    </w:p>
    <w:p>
      <w:pPr>
        <w:spacing w:line="240" w:lineRule="auto" w:before="10" w:after="0"/>
        <w:rPr>
          <w:sz w:val="1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2"/>
        <w:gridCol w:w="1388"/>
        <w:gridCol w:w="947"/>
      </w:tblGrid>
      <w:tr>
        <w:trPr>
          <w:trHeight w:val="257" w:hRule="atLeast"/>
        </w:trPr>
        <w:tc>
          <w:tcPr>
            <w:tcW w:w="7532" w:type="dxa"/>
          </w:tcPr>
          <w:p>
            <w:pPr>
              <w:pStyle w:val="TableParagraph"/>
              <w:spacing w:line="226" w:lineRule="exact"/>
              <w:ind w:left="200"/>
              <w:rPr>
                <w:rFonts w:ascii="Microsoft Sans Serif"/>
                <w:sz w:val="20"/>
              </w:rPr>
            </w:pPr>
            <w:r>
              <w:rPr>
                <w:rFonts w:ascii="Microsoft Sans Serif"/>
                <w:sz w:val="20"/>
              </w:rPr>
              <w:t>5051-Credit Card Fees (.02% for all fees. Actual fees since fy 17-18)</w:t>
            </w:r>
          </w:p>
        </w:tc>
        <w:tc>
          <w:tcPr>
            <w:tcW w:w="1388" w:type="dxa"/>
          </w:tcPr>
          <w:p>
            <w:pPr>
              <w:pStyle w:val="TableParagraph"/>
              <w:spacing w:line="226" w:lineRule="exact"/>
              <w:ind w:right="325"/>
              <w:jc w:val="right"/>
              <w:rPr>
                <w:rFonts w:ascii="Microsoft Sans Serif"/>
                <w:sz w:val="20"/>
              </w:rPr>
            </w:pPr>
            <w:r>
              <w:rPr>
                <w:rFonts w:ascii="Microsoft Sans Serif"/>
                <w:w w:val="95"/>
                <w:sz w:val="20"/>
              </w:rPr>
              <w:t>351</w:t>
            </w:r>
          </w:p>
        </w:tc>
        <w:tc>
          <w:tcPr>
            <w:tcW w:w="947" w:type="dxa"/>
          </w:tcPr>
          <w:p>
            <w:pPr>
              <w:pStyle w:val="TableParagraph"/>
              <w:spacing w:line="226" w:lineRule="exact"/>
              <w:ind w:right="105"/>
              <w:jc w:val="right"/>
              <w:rPr>
                <w:rFonts w:ascii="Microsoft Sans Serif"/>
                <w:sz w:val="20"/>
              </w:rPr>
            </w:pPr>
            <w:r>
              <w:rPr>
                <w:rFonts w:ascii="Microsoft Sans Serif"/>
                <w:w w:val="95"/>
                <w:sz w:val="20"/>
              </w:rPr>
              <w:t>600</w:t>
            </w:r>
          </w:p>
        </w:tc>
      </w:tr>
      <w:tr>
        <w:trPr>
          <w:trHeight w:val="282" w:hRule="atLeast"/>
        </w:trPr>
        <w:tc>
          <w:tcPr>
            <w:tcW w:w="7532" w:type="dxa"/>
          </w:tcPr>
          <w:p>
            <w:pPr>
              <w:pStyle w:val="TableParagraph"/>
              <w:spacing w:before="31"/>
              <w:ind w:left="200"/>
              <w:rPr>
                <w:rFonts w:ascii="Microsoft Sans Serif"/>
                <w:sz w:val="20"/>
              </w:rPr>
            </w:pPr>
            <w:r>
              <w:rPr>
                <w:rFonts w:ascii="Microsoft Sans Serif"/>
                <w:sz w:val="20"/>
              </w:rPr>
              <w:t>5121-Printing-Outside (printing newsletter outside Bar / Paid Editor)</w:t>
            </w:r>
          </w:p>
        </w:tc>
        <w:tc>
          <w:tcPr>
            <w:tcW w:w="1388" w:type="dxa"/>
            <w:tcBorders>
              <w:bottom w:val="single" w:sz="8" w:space="0" w:color="000000"/>
            </w:tcBorders>
          </w:tcPr>
          <w:p>
            <w:pPr>
              <w:pStyle w:val="TableParagraph"/>
              <w:spacing w:before="31"/>
              <w:ind w:right="325"/>
              <w:jc w:val="right"/>
              <w:rPr>
                <w:rFonts w:ascii="Microsoft Sans Serif"/>
                <w:sz w:val="20"/>
              </w:rPr>
            </w:pPr>
            <w:r>
              <w:rPr>
                <w:rFonts w:ascii="Microsoft Sans Serif"/>
                <w:w w:val="95"/>
                <w:sz w:val="20"/>
              </w:rPr>
              <w:t>950</w:t>
            </w:r>
          </w:p>
        </w:tc>
        <w:tc>
          <w:tcPr>
            <w:tcW w:w="947" w:type="dxa"/>
            <w:tcBorders>
              <w:bottom w:val="single" w:sz="8" w:space="0" w:color="000000"/>
            </w:tcBorders>
          </w:tcPr>
          <w:p>
            <w:pPr>
              <w:pStyle w:val="TableParagraph"/>
              <w:spacing w:before="31"/>
              <w:ind w:right="106"/>
              <w:jc w:val="right"/>
              <w:rPr>
                <w:rFonts w:ascii="Microsoft Sans Serif"/>
                <w:sz w:val="20"/>
              </w:rPr>
            </w:pPr>
            <w:r>
              <w:rPr>
                <w:rFonts w:ascii="Microsoft Sans Serif"/>
                <w:w w:val="95"/>
                <w:sz w:val="20"/>
              </w:rPr>
              <w:t>4,000</w:t>
            </w:r>
          </w:p>
        </w:tc>
      </w:tr>
      <w:tr>
        <w:trPr>
          <w:trHeight w:val="245" w:hRule="atLeast"/>
        </w:trPr>
        <w:tc>
          <w:tcPr>
            <w:tcW w:w="7532" w:type="dxa"/>
          </w:tcPr>
          <w:p>
            <w:pPr>
              <w:pStyle w:val="TableParagraph"/>
              <w:spacing w:line="206" w:lineRule="exact" w:before="19"/>
              <w:ind w:left="200"/>
              <w:rPr>
                <w:rFonts w:ascii="Microsoft Sans Serif"/>
                <w:b/>
                <w:sz w:val="20"/>
              </w:rPr>
            </w:pPr>
            <w:r>
              <w:rPr>
                <w:rFonts w:ascii="Microsoft Sans Serif"/>
                <w:b/>
                <w:sz w:val="20"/>
              </w:rPr>
              <w:t>Total Contract Services</w:t>
            </w:r>
          </w:p>
        </w:tc>
        <w:tc>
          <w:tcPr>
            <w:tcW w:w="1388" w:type="dxa"/>
            <w:tcBorders>
              <w:top w:val="single" w:sz="8" w:space="0" w:color="000000"/>
            </w:tcBorders>
          </w:tcPr>
          <w:p>
            <w:pPr>
              <w:pStyle w:val="TableParagraph"/>
              <w:spacing w:line="206" w:lineRule="exact" w:before="19"/>
              <w:ind w:right="327"/>
              <w:jc w:val="right"/>
              <w:rPr>
                <w:rFonts w:ascii="Microsoft Sans Serif"/>
                <w:b/>
                <w:sz w:val="20"/>
              </w:rPr>
            </w:pPr>
            <w:r>
              <w:rPr>
                <w:rFonts w:ascii="Microsoft Sans Serif"/>
                <w:b/>
                <w:sz w:val="20"/>
              </w:rPr>
              <w:t>1,301</w:t>
            </w:r>
          </w:p>
        </w:tc>
        <w:tc>
          <w:tcPr>
            <w:tcW w:w="947" w:type="dxa"/>
            <w:tcBorders>
              <w:top w:val="single" w:sz="8" w:space="0" w:color="000000"/>
            </w:tcBorders>
          </w:tcPr>
          <w:p>
            <w:pPr>
              <w:pStyle w:val="TableParagraph"/>
              <w:spacing w:line="206" w:lineRule="exact" w:before="19"/>
              <w:ind w:right="108"/>
              <w:jc w:val="right"/>
              <w:rPr>
                <w:rFonts w:ascii="Microsoft Sans Serif"/>
                <w:b/>
                <w:sz w:val="20"/>
              </w:rPr>
            </w:pPr>
            <w:r>
              <w:rPr>
                <w:rFonts w:ascii="Microsoft Sans Serif"/>
                <w:b/>
                <w:sz w:val="20"/>
              </w:rPr>
              <w:t>4,600</w:t>
            </w:r>
          </w:p>
        </w:tc>
      </w:tr>
    </w:tbl>
    <w:p>
      <w:pPr>
        <w:spacing w:line="240" w:lineRule="auto" w:before="0"/>
        <w:rPr>
          <w:sz w:val="20"/>
        </w:rPr>
      </w:pPr>
    </w:p>
    <w:p>
      <w:pPr>
        <w:spacing w:line="240" w:lineRule="auto" w:before="10" w:after="0"/>
        <w:rPr>
          <w:sz w:val="1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2"/>
        <w:gridCol w:w="1332"/>
        <w:gridCol w:w="1003"/>
      </w:tblGrid>
      <w:tr>
        <w:trPr>
          <w:trHeight w:val="257" w:hRule="atLeast"/>
        </w:trPr>
        <w:tc>
          <w:tcPr>
            <w:tcW w:w="7532" w:type="dxa"/>
          </w:tcPr>
          <w:p>
            <w:pPr>
              <w:pStyle w:val="TableParagraph"/>
              <w:spacing w:line="226" w:lineRule="exact"/>
              <w:ind w:left="200"/>
              <w:rPr>
                <w:rFonts w:ascii="Microsoft Sans Serif"/>
                <w:sz w:val="20"/>
              </w:rPr>
            </w:pPr>
            <w:r>
              <w:rPr>
                <w:rFonts w:ascii="Microsoft Sans Serif"/>
                <w:sz w:val="20"/>
              </w:rPr>
              <w:t>5501-Employee Travel (staff travel per formula)</w:t>
            </w:r>
          </w:p>
        </w:tc>
        <w:tc>
          <w:tcPr>
            <w:tcW w:w="1332" w:type="dxa"/>
          </w:tcPr>
          <w:p>
            <w:pPr>
              <w:pStyle w:val="TableParagraph"/>
              <w:spacing w:line="226" w:lineRule="exact"/>
              <w:ind w:right="269"/>
              <w:jc w:val="right"/>
              <w:rPr>
                <w:rFonts w:ascii="Microsoft Sans Serif"/>
                <w:sz w:val="20"/>
              </w:rPr>
            </w:pPr>
            <w:r>
              <w:rPr>
                <w:rFonts w:ascii="Microsoft Sans Serif"/>
                <w:w w:val="95"/>
                <w:sz w:val="20"/>
              </w:rPr>
              <w:t>862</w:t>
            </w:r>
          </w:p>
        </w:tc>
        <w:tc>
          <w:tcPr>
            <w:tcW w:w="1003" w:type="dxa"/>
          </w:tcPr>
          <w:p>
            <w:pPr>
              <w:pStyle w:val="TableParagraph"/>
              <w:spacing w:line="226" w:lineRule="exact"/>
              <w:ind w:right="106"/>
              <w:jc w:val="right"/>
              <w:rPr>
                <w:rFonts w:ascii="Microsoft Sans Serif"/>
                <w:sz w:val="20"/>
              </w:rPr>
            </w:pPr>
            <w:r>
              <w:rPr>
                <w:rFonts w:ascii="Microsoft Sans Serif"/>
                <w:w w:val="95"/>
                <w:sz w:val="20"/>
              </w:rPr>
              <w:t>8,255</w:t>
            </w:r>
          </w:p>
        </w:tc>
      </w:tr>
      <w:tr>
        <w:trPr>
          <w:trHeight w:val="290" w:hRule="atLeast"/>
        </w:trPr>
        <w:tc>
          <w:tcPr>
            <w:tcW w:w="7532" w:type="dxa"/>
          </w:tcPr>
          <w:p>
            <w:pPr>
              <w:pStyle w:val="TableParagraph"/>
              <w:spacing w:before="31"/>
              <w:ind w:left="200"/>
              <w:rPr>
                <w:rFonts w:ascii="Microsoft Sans Serif"/>
                <w:sz w:val="20"/>
              </w:rPr>
            </w:pPr>
            <w:r>
              <w:rPr>
                <w:rFonts w:ascii="Microsoft Sans Serif"/>
                <w:sz w:val="20"/>
              </w:rPr>
              <w:t>5531-Board/Off/Memb Travel (officer travel / out-of-state travel)</w:t>
            </w:r>
          </w:p>
        </w:tc>
        <w:tc>
          <w:tcPr>
            <w:tcW w:w="1332" w:type="dxa"/>
          </w:tcPr>
          <w:p>
            <w:pPr>
              <w:pStyle w:val="TableParagraph"/>
              <w:rPr>
                <w:sz w:val="18"/>
              </w:rPr>
            </w:pPr>
          </w:p>
        </w:tc>
        <w:tc>
          <w:tcPr>
            <w:tcW w:w="1003" w:type="dxa"/>
          </w:tcPr>
          <w:p>
            <w:pPr>
              <w:pStyle w:val="TableParagraph"/>
              <w:spacing w:before="31"/>
              <w:ind w:right="106"/>
              <w:jc w:val="right"/>
              <w:rPr>
                <w:rFonts w:ascii="Microsoft Sans Serif"/>
                <w:sz w:val="20"/>
              </w:rPr>
            </w:pPr>
            <w:r>
              <w:rPr>
                <w:rFonts w:ascii="Microsoft Sans Serif"/>
                <w:w w:val="95"/>
                <w:sz w:val="20"/>
              </w:rPr>
              <w:t>1,250</w:t>
            </w:r>
          </w:p>
        </w:tc>
      </w:tr>
      <w:tr>
        <w:trPr>
          <w:trHeight w:val="282" w:hRule="atLeast"/>
        </w:trPr>
        <w:tc>
          <w:tcPr>
            <w:tcW w:w="7532" w:type="dxa"/>
          </w:tcPr>
          <w:p>
            <w:pPr>
              <w:pStyle w:val="TableParagraph"/>
              <w:spacing w:before="31"/>
              <w:ind w:left="200"/>
              <w:rPr>
                <w:rFonts w:ascii="Microsoft Sans Serif"/>
                <w:sz w:val="20"/>
              </w:rPr>
            </w:pPr>
            <w:r>
              <w:rPr>
                <w:rFonts w:ascii="Microsoft Sans Serif"/>
                <w:sz w:val="20"/>
              </w:rPr>
              <w:t>5599-Other Travel (meeting travel expense)</w:t>
            </w:r>
          </w:p>
        </w:tc>
        <w:tc>
          <w:tcPr>
            <w:tcW w:w="1332" w:type="dxa"/>
            <w:tcBorders>
              <w:bottom w:val="single" w:sz="8" w:space="0" w:color="000000"/>
            </w:tcBorders>
          </w:tcPr>
          <w:p>
            <w:pPr>
              <w:pStyle w:val="TableParagraph"/>
              <w:spacing w:before="31"/>
              <w:ind w:right="269"/>
              <w:jc w:val="right"/>
              <w:rPr>
                <w:rFonts w:ascii="Microsoft Sans Serif"/>
                <w:sz w:val="20"/>
              </w:rPr>
            </w:pPr>
            <w:r>
              <w:rPr>
                <w:rFonts w:ascii="Microsoft Sans Serif"/>
                <w:w w:val="95"/>
                <w:sz w:val="20"/>
              </w:rPr>
              <w:t>6,647</w:t>
            </w:r>
          </w:p>
        </w:tc>
        <w:tc>
          <w:tcPr>
            <w:tcW w:w="1003" w:type="dxa"/>
            <w:tcBorders>
              <w:bottom w:val="single" w:sz="8" w:space="0" w:color="000000"/>
            </w:tcBorders>
          </w:tcPr>
          <w:p>
            <w:pPr>
              <w:pStyle w:val="TableParagraph"/>
              <w:spacing w:before="31"/>
              <w:ind w:right="106"/>
              <w:jc w:val="right"/>
              <w:rPr>
                <w:rFonts w:ascii="Microsoft Sans Serif"/>
                <w:sz w:val="20"/>
              </w:rPr>
            </w:pPr>
            <w:r>
              <w:rPr>
                <w:rFonts w:ascii="Microsoft Sans Serif"/>
                <w:w w:val="95"/>
                <w:sz w:val="20"/>
              </w:rPr>
              <w:t>22,500</w:t>
            </w:r>
          </w:p>
        </w:tc>
      </w:tr>
      <w:tr>
        <w:trPr>
          <w:trHeight w:val="245" w:hRule="atLeast"/>
        </w:trPr>
        <w:tc>
          <w:tcPr>
            <w:tcW w:w="7532" w:type="dxa"/>
          </w:tcPr>
          <w:p>
            <w:pPr>
              <w:pStyle w:val="TableParagraph"/>
              <w:spacing w:line="206" w:lineRule="exact" w:before="19"/>
              <w:ind w:left="200"/>
              <w:rPr>
                <w:rFonts w:ascii="Microsoft Sans Serif"/>
                <w:b/>
                <w:sz w:val="20"/>
              </w:rPr>
            </w:pPr>
            <w:r>
              <w:rPr>
                <w:rFonts w:ascii="Microsoft Sans Serif"/>
                <w:b/>
                <w:sz w:val="20"/>
              </w:rPr>
              <w:t>Total Travel</w:t>
            </w:r>
          </w:p>
        </w:tc>
        <w:tc>
          <w:tcPr>
            <w:tcW w:w="1332" w:type="dxa"/>
            <w:tcBorders>
              <w:top w:val="single" w:sz="8" w:space="0" w:color="000000"/>
            </w:tcBorders>
          </w:tcPr>
          <w:p>
            <w:pPr>
              <w:pStyle w:val="TableParagraph"/>
              <w:spacing w:line="206" w:lineRule="exact" w:before="19"/>
              <w:ind w:right="271"/>
              <w:jc w:val="right"/>
              <w:rPr>
                <w:rFonts w:ascii="Microsoft Sans Serif"/>
                <w:b/>
                <w:sz w:val="20"/>
              </w:rPr>
            </w:pPr>
            <w:r>
              <w:rPr>
                <w:rFonts w:ascii="Microsoft Sans Serif"/>
                <w:b/>
                <w:sz w:val="20"/>
              </w:rPr>
              <w:t>7,509</w:t>
            </w:r>
          </w:p>
        </w:tc>
        <w:tc>
          <w:tcPr>
            <w:tcW w:w="1003" w:type="dxa"/>
            <w:tcBorders>
              <w:top w:val="single" w:sz="8" w:space="0" w:color="000000"/>
            </w:tcBorders>
          </w:tcPr>
          <w:p>
            <w:pPr>
              <w:pStyle w:val="TableParagraph"/>
              <w:spacing w:line="206" w:lineRule="exact" w:before="19"/>
              <w:ind w:right="108"/>
              <w:jc w:val="right"/>
              <w:rPr>
                <w:rFonts w:ascii="Microsoft Sans Serif"/>
                <w:b/>
                <w:sz w:val="20"/>
              </w:rPr>
            </w:pPr>
            <w:r>
              <w:rPr>
                <w:rFonts w:ascii="Microsoft Sans Serif"/>
                <w:b/>
                <w:sz w:val="20"/>
              </w:rPr>
              <w:t>32,005</w:t>
            </w:r>
          </w:p>
        </w:tc>
      </w:tr>
    </w:tbl>
    <w:p>
      <w:pPr>
        <w:spacing w:line="240" w:lineRule="auto" w:before="0"/>
        <w:rPr>
          <w:sz w:val="20"/>
        </w:rPr>
      </w:pPr>
    </w:p>
    <w:p>
      <w:pPr>
        <w:spacing w:line="240" w:lineRule="auto" w:before="10" w:after="0"/>
        <w:rPr>
          <w:sz w:val="1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36"/>
        <w:gridCol w:w="1636"/>
        <w:gridCol w:w="1087"/>
      </w:tblGrid>
      <w:tr>
        <w:trPr>
          <w:trHeight w:val="257" w:hRule="atLeast"/>
        </w:trPr>
        <w:tc>
          <w:tcPr>
            <w:tcW w:w="7236" w:type="dxa"/>
          </w:tcPr>
          <w:p>
            <w:pPr>
              <w:pStyle w:val="TableParagraph"/>
              <w:spacing w:line="226" w:lineRule="exact"/>
              <w:ind w:left="200"/>
              <w:rPr>
                <w:rFonts w:ascii="Microsoft Sans Serif"/>
                <w:sz w:val="20"/>
              </w:rPr>
            </w:pPr>
            <w:r>
              <w:rPr>
                <w:rFonts w:ascii="Microsoft Sans Serif"/>
                <w:sz w:val="20"/>
              </w:rPr>
              <w:t>6001-Post 1st Class/Bulk (mailing)</w:t>
            </w:r>
          </w:p>
        </w:tc>
        <w:tc>
          <w:tcPr>
            <w:tcW w:w="1636" w:type="dxa"/>
          </w:tcPr>
          <w:p>
            <w:pPr>
              <w:pStyle w:val="TableParagraph"/>
              <w:spacing w:line="226" w:lineRule="exact"/>
              <w:ind w:right="277"/>
              <w:jc w:val="right"/>
              <w:rPr>
                <w:rFonts w:ascii="Microsoft Sans Serif"/>
                <w:sz w:val="20"/>
              </w:rPr>
            </w:pPr>
            <w:r>
              <w:rPr>
                <w:rFonts w:ascii="Microsoft Sans Serif"/>
                <w:w w:val="95"/>
                <w:sz w:val="20"/>
              </w:rPr>
              <w:t>46</w:t>
            </w:r>
          </w:p>
        </w:tc>
        <w:tc>
          <w:tcPr>
            <w:tcW w:w="1087" w:type="dxa"/>
          </w:tcPr>
          <w:p>
            <w:pPr>
              <w:pStyle w:val="TableParagraph"/>
              <w:spacing w:line="226" w:lineRule="exact"/>
              <w:ind w:right="197"/>
              <w:jc w:val="right"/>
              <w:rPr>
                <w:rFonts w:ascii="Microsoft Sans Serif"/>
                <w:sz w:val="20"/>
              </w:rPr>
            </w:pPr>
            <w:r>
              <w:rPr>
                <w:rFonts w:ascii="Microsoft Sans Serif"/>
                <w:w w:val="95"/>
                <w:sz w:val="20"/>
              </w:rPr>
              <w:t>500</w:t>
            </w:r>
          </w:p>
        </w:tc>
      </w:tr>
      <w:tr>
        <w:trPr>
          <w:trHeight w:val="290" w:hRule="atLeast"/>
        </w:trPr>
        <w:tc>
          <w:tcPr>
            <w:tcW w:w="7236" w:type="dxa"/>
          </w:tcPr>
          <w:p>
            <w:pPr>
              <w:pStyle w:val="TableParagraph"/>
              <w:spacing w:before="31"/>
              <w:ind w:left="200"/>
              <w:rPr>
                <w:rFonts w:ascii="Microsoft Sans Serif"/>
                <w:sz w:val="20"/>
              </w:rPr>
            </w:pPr>
            <w:r>
              <w:rPr>
                <w:rFonts w:ascii="Microsoft Sans Serif"/>
                <w:sz w:val="20"/>
              </w:rPr>
              <w:t>6301-Mtgs TFB Annual Meeting (annual convention)</w:t>
            </w:r>
          </w:p>
        </w:tc>
        <w:tc>
          <w:tcPr>
            <w:tcW w:w="1636" w:type="dxa"/>
          </w:tcPr>
          <w:p>
            <w:pPr>
              <w:pStyle w:val="TableParagraph"/>
              <w:spacing w:before="31"/>
              <w:ind w:right="277"/>
              <w:jc w:val="right"/>
              <w:rPr>
                <w:rFonts w:ascii="Microsoft Sans Serif"/>
                <w:sz w:val="20"/>
              </w:rPr>
            </w:pPr>
            <w:r>
              <w:rPr>
                <w:rFonts w:ascii="Microsoft Sans Serif"/>
                <w:w w:val="95"/>
                <w:sz w:val="20"/>
              </w:rPr>
              <w:t>292</w:t>
            </w:r>
          </w:p>
        </w:tc>
        <w:tc>
          <w:tcPr>
            <w:tcW w:w="1087" w:type="dxa"/>
          </w:tcPr>
          <w:p>
            <w:pPr>
              <w:pStyle w:val="TableParagraph"/>
              <w:spacing w:before="31"/>
              <w:ind w:right="198"/>
              <w:jc w:val="right"/>
              <w:rPr>
                <w:rFonts w:ascii="Microsoft Sans Serif"/>
                <w:sz w:val="20"/>
              </w:rPr>
            </w:pPr>
            <w:r>
              <w:rPr>
                <w:rFonts w:ascii="Microsoft Sans Serif"/>
                <w:w w:val="95"/>
                <w:sz w:val="20"/>
              </w:rPr>
              <w:t>13,000</w:t>
            </w:r>
          </w:p>
        </w:tc>
      </w:tr>
      <w:tr>
        <w:trPr>
          <w:trHeight w:val="290" w:hRule="atLeast"/>
        </w:trPr>
        <w:tc>
          <w:tcPr>
            <w:tcW w:w="7236" w:type="dxa"/>
          </w:tcPr>
          <w:p>
            <w:pPr>
              <w:pStyle w:val="TableParagraph"/>
              <w:spacing w:before="31"/>
              <w:ind w:left="200"/>
              <w:rPr>
                <w:rFonts w:ascii="Microsoft Sans Serif"/>
                <w:sz w:val="20"/>
              </w:rPr>
            </w:pPr>
            <w:r>
              <w:rPr>
                <w:rFonts w:ascii="Microsoft Sans Serif"/>
                <w:sz w:val="20"/>
              </w:rPr>
              <w:t>6311-Mtgs General Meeting (council mtgs / winter meeting)</w:t>
            </w:r>
          </w:p>
        </w:tc>
        <w:tc>
          <w:tcPr>
            <w:tcW w:w="1636" w:type="dxa"/>
          </w:tcPr>
          <w:p>
            <w:pPr>
              <w:pStyle w:val="TableParagraph"/>
              <w:spacing w:before="31"/>
              <w:ind w:right="277"/>
              <w:jc w:val="right"/>
              <w:rPr>
                <w:rFonts w:ascii="Microsoft Sans Serif"/>
                <w:sz w:val="20"/>
              </w:rPr>
            </w:pPr>
            <w:r>
              <w:rPr>
                <w:rFonts w:ascii="Microsoft Sans Serif"/>
                <w:w w:val="95"/>
                <w:sz w:val="20"/>
              </w:rPr>
              <w:t>616</w:t>
            </w:r>
          </w:p>
        </w:tc>
        <w:tc>
          <w:tcPr>
            <w:tcW w:w="1087" w:type="dxa"/>
          </w:tcPr>
          <w:p>
            <w:pPr>
              <w:pStyle w:val="TableParagraph"/>
              <w:spacing w:before="31"/>
              <w:ind w:right="198"/>
              <w:jc w:val="right"/>
              <w:rPr>
                <w:rFonts w:ascii="Microsoft Sans Serif"/>
                <w:sz w:val="20"/>
              </w:rPr>
            </w:pPr>
            <w:r>
              <w:rPr>
                <w:rFonts w:ascii="Microsoft Sans Serif"/>
                <w:w w:val="95"/>
                <w:sz w:val="20"/>
              </w:rPr>
              <w:t>5,600</w:t>
            </w:r>
          </w:p>
        </w:tc>
      </w:tr>
      <w:tr>
        <w:trPr>
          <w:trHeight w:val="290" w:hRule="atLeast"/>
        </w:trPr>
        <w:tc>
          <w:tcPr>
            <w:tcW w:w="7236" w:type="dxa"/>
          </w:tcPr>
          <w:p>
            <w:pPr>
              <w:pStyle w:val="TableParagraph"/>
              <w:spacing w:before="31"/>
              <w:ind w:left="200"/>
              <w:rPr>
                <w:rFonts w:ascii="Microsoft Sans Serif"/>
                <w:sz w:val="20"/>
              </w:rPr>
            </w:pPr>
            <w:r>
              <w:rPr>
                <w:rFonts w:ascii="Microsoft Sans Serif"/>
                <w:sz w:val="20"/>
              </w:rPr>
              <w:t>6319-Mtgs Other Functions (Section retreat / section service program)</w:t>
            </w:r>
          </w:p>
        </w:tc>
        <w:tc>
          <w:tcPr>
            <w:tcW w:w="1636" w:type="dxa"/>
          </w:tcPr>
          <w:p>
            <w:pPr>
              <w:pStyle w:val="TableParagraph"/>
              <w:rPr>
                <w:sz w:val="18"/>
              </w:rPr>
            </w:pPr>
          </w:p>
        </w:tc>
        <w:tc>
          <w:tcPr>
            <w:tcW w:w="1087" w:type="dxa"/>
          </w:tcPr>
          <w:p>
            <w:pPr>
              <w:pStyle w:val="TableParagraph"/>
              <w:spacing w:before="31"/>
              <w:ind w:right="198"/>
              <w:jc w:val="right"/>
              <w:rPr>
                <w:rFonts w:ascii="Microsoft Sans Serif"/>
                <w:sz w:val="20"/>
              </w:rPr>
            </w:pPr>
            <w:r>
              <w:rPr>
                <w:rFonts w:ascii="Microsoft Sans Serif"/>
                <w:w w:val="95"/>
                <w:sz w:val="20"/>
              </w:rPr>
              <w:t>5,000</w:t>
            </w:r>
          </w:p>
        </w:tc>
      </w:tr>
      <w:tr>
        <w:trPr>
          <w:trHeight w:val="290" w:hRule="atLeast"/>
        </w:trPr>
        <w:tc>
          <w:tcPr>
            <w:tcW w:w="7236" w:type="dxa"/>
          </w:tcPr>
          <w:p>
            <w:pPr>
              <w:pStyle w:val="TableParagraph"/>
              <w:spacing w:before="31"/>
              <w:ind w:left="200"/>
              <w:rPr>
                <w:rFonts w:ascii="Microsoft Sans Serif"/>
                <w:sz w:val="20"/>
              </w:rPr>
            </w:pPr>
            <w:r>
              <w:rPr>
                <w:rFonts w:ascii="Microsoft Sans Serif"/>
                <w:sz w:val="20"/>
              </w:rPr>
              <w:t>6321-Mtgs Meals (section dinners)</w:t>
            </w:r>
          </w:p>
        </w:tc>
        <w:tc>
          <w:tcPr>
            <w:tcW w:w="1636" w:type="dxa"/>
          </w:tcPr>
          <w:p>
            <w:pPr>
              <w:pStyle w:val="TableParagraph"/>
              <w:rPr>
                <w:sz w:val="18"/>
              </w:rPr>
            </w:pPr>
          </w:p>
        </w:tc>
        <w:tc>
          <w:tcPr>
            <w:tcW w:w="1087" w:type="dxa"/>
          </w:tcPr>
          <w:p>
            <w:pPr>
              <w:pStyle w:val="TableParagraph"/>
              <w:spacing w:before="31"/>
              <w:ind w:right="198"/>
              <w:jc w:val="right"/>
              <w:rPr>
                <w:rFonts w:ascii="Microsoft Sans Serif"/>
                <w:sz w:val="20"/>
              </w:rPr>
            </w:pPr>
            <w:r>
              <w:rPr>
                <w:rFonts w:ascii="Microsoft Sans Serif"/>
                <w:w w:val="95"/>
                <w:sz w:val="20"/>
              </w:rPr>
              <w:t>10,000</w:t>
            </w:r>
          </w:p>
        </w:tc>
      </w:tr>
      <w:tr>
        <w:trPr>
          <w:trHeight w:val="257" w:hRule="atLeast"/>
        </w:trPr>
        <w:tc>
          <w:tcPr>
            <w:tcW w:w="7236" w:type="dxa"/>
          </w:tcPr>
          <w:p>
            <w:pPr>
              <w:pStyle w:val="TableParagraph"/>
              <w:spacing w:line="206" w:lineRule="exact" w:before="31"/>
              <w:ind w:left="200"/>
              <w:rPr>
                <w:rFonts w:ascii="Microsoft Sans Serif"/>
                <w:sz w:val="20"/>
              </w:rPr>
            </w:pPr>
            <w:r>
              <w:rPr>
                <w:rFonts w:ascii="Microsoft Sans Serif"/>
                <w:sz w:val="20"/>
              </w:rPr>
              <w:t>6325-Mtgs Hospitality (section receptions)</w:t>
            </w:r>
          </w:p>
        </w:tc>
        <w:tc>
          <w:tcPr>
            <w:tcW w:w="1636" w:type="dxa"/>
          </w:tcPr>
          <w:p>
            <w:pPr>
              <w:pStyle w:val="TableParagraph"/>
              <w:spacing w:line="206" w:lineRule="exact" w:before="31"/>
              <w:ind w:right="277"/>
              <w:jc w:val="right"/>
              <w:rPr>
                <w:rFonts w:ascii="Microsoft Sans Serif"/>
                <w:sz w:val="20"/>
              </w:rPr>
            </w:pPr>
            <w:r>
              <w:rPr>
                <w:rFonts w:ascii="Microsoft Sans Serif"/>
                <w:w w:val="95"/>
                <w:sz w:val="20"/>
              </w:rPr>
              <w:t>4,455</w:t>
            </w:r>
          </w:p>
        </w:tc>
        <w:tc>
          <w:tcPr>
            <w:tcW w:w="1087" w:type="dxa"/>
          </w:tcPr>
          <w:p>
            <w:pPr>
              <w:pStyle w:val="TableParagraph"/>
              <w:spacing w:line="206" w:lineRule="exact" w:before="31"/>
              <w:ind w:right="198"/>
              <w:jc w:val="right"/>
              <w:rPr>
                <w:rFonts w:ascii="Microsoft Sans Serif"/>
                <w:sz w:val="20"/>
              </w:rPr>
            </w:pPr>
            <w:r>
              <w:rPr>
                <w:rFonts w:ascii="Microsoft Sans Serif"/>
                <w:w w:val="95"/>
                <w:sz w:val="20"/>
              </w:rPr>
              <w:t>10,500</w:t>
            </w:r>
          </w:p>
        </w:tc>
      </w:tr>
    </w:tbl>
    <w:p>
      <w:pPr>
        <w:spacing w:after="0" w:line="206" w:lineRule="exact"/>
        <w:jc w:val="right"/>
        <w:rPr>
          <w:rFonts w:ascii="Microsoft Sans Serif"/>
          <w:sz w:val="20"/>
        </w:rPr>
        <w:sectPr>
          <w:footerReference w:type="default" r:id="rId12"/>
          <w:pgSz w:w="12240" w:h="15840"/>
          <w:pgMar w:footer="523" w:header="0" w:top="760" w:bottom="720" w:left="820" w:right="1200"/>
          <w:pgNumType w:start="2"/>
        </w:sectPr>
      </w:pPr>
    </w:p>
    <w:tbl>
      <w:tblPr>
        <w:tblW w:w="0" w:type="auto"/>
        <w:jc w:val="left"/>
        <w:tblInd w:w="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70"/>
        <w:gridCol w:w="1250"/>
        <w:gridCol w:w="1084"/>
      </w:tblGrid>
      <w:tr>
        <w:trPr>
          <w:trHeight w:val="255" w:hRule="atLeast"/>
        </w:trPr>
        <w:tc>
          <w:tcPr>
            <w:tcW w:w="7370" w:type="dxa"/>
          </w:tcPr>
          <w:p>
            <w:pPr>
              <w:pStyle w:val="TableParagraph"/>
              <w:rPr>
                <w:sz w:val="18"/>
              </w:rPr>
            </w:pPr>
          </w:p>
        </w:tc>
        <w:tc>
          <w:tcPr>
            <w:tcW w:w="1250" w:type="dxa"/>
          </w:tcPr>
          <w:p>
            <w:pPr>
              <w:pStyle w:val="TableParagraph"/>
              <w:spacing w:line="225" w:lineRule="exact"/>
              <w:ind w:left="367"/>
              <w:rPr>
                <w:rFonts w:ascii="Calibri"/>
                <w:sz w:val="22"/>
              </w:rPr>
            </w:pPr>
            <w:r>
              <w:rPr>
                <w:rFonts w:ascii="Calibri"/>
                <w:sz w:val="22"/>
              </w:rPr>
              <w:t>2019</w:t>
            </w:r>
          </w:p>
        </w:tc>
        <w:tc>
          <w:tcPr>
            <w:tcW w:w="1084" w:type="dxa"/>
          </w:tcPr>
          <w:p>
            <w:pPr>
              <w:pStyle w:val="TableParagraph"/>
              <w:spacing w:line="225" w:lineRule="exact"/>
              <w:ind w:left="283"/>
              <w:rPr>
                <w:rFonts w:ascii="Calibri"/>
                <w:sz w:val="22"/>
              </w:rPr>
            </w:pPr>
            <w:r>
              <w:rPr>
                <w:rFonts w:ascii="Calibri"/>
                <w:sz w:val="22"/>
              </w:rPr>
              <w:t>2019</w:t>
            </w:r>
          </w:p>
        </w:tc>
      </w:tr>
      <w:tr>
        <w:trPr>
          <w:trHeight w:val="267" w:hRule="atLeast"/>
        </w:trPr>
        <w:tc>
          <w:tcPr>
            <w:tcW w:w="7370" w:type="dxa"/>
            <w:tcBorders>
              <w:bottom w:val="single" w:sz="8" w:space="0" w:color="000000"/>
            </w:tcBorders>
          </w:tcPr>
          <w:p>
            <w:pPr>
              <w:pStyle w:val="TableParagraph"/>
              <w:spacing w:line="247" w:lineRule="exact"/>
              <w:ind w:left="38"/>
              <w:rPr>
                <w:rFonts w:ascii="Calibri"/>
                <w:sz w:val="22"/>
              </w:rPr>
            </w:pPr>
            <w:r>
              <w:rPr>
                <w:rFonts w:ascii="Calibri"/>
                <w:sz w:val="22"/>
              </w:rPr>
              <w:t>Description</w:t>
            </w:r>
          </w:p>
        </w:tc>
        <w:tc>
          <w:tcPr>
            <w:tcW w:w="1250" w:type="dxa"/>
            <w:tcBorders>
              <w:bottom w:val="single" w:sz="8" w:space="0" w:color="000000"/>
            </w:tcBorders>
          </w:tcPr>
          <w:p>
            <w:pPr>
              <w:pStyle w:val="TableParagraph"/>
              <w:spacing w:line="247" w:lineRule="exact"/>
              <w:ind w:left="310"/>
              <w:rPr>
                <w:rFonts w:ascii="Calibri"/>
                <w:sz w:val="22"/>
              </w:rPr>
            </w:pPr>
            <w:r>
              <w:rPr>
                <w:rFonts w:ascii="Calibri"/>
                <w:sz w:val="22"/>
              </w:rPr>
              <w:t>Actual</w:t>
            </w:r>
          </w:p>
        </w:tc>
        <w:tc>
          <w:tcPr>
            <w:tcW w:w="1084" w:type="dxa"/>
            <w:tcBorders>
              <w:bottom w:val="single" w:sz="8" w:space="0" w:color="000000"/>
            </w:tcBorders>
          </w:tcPr>
          <w:p>
            <w:pPr>
              <w:pStyle w:val="TableParagraph"/>
              <w:spacing w:line="247" w:lineRule="exact"/>
              <w:ind w:left="190"/>
              <w:rPr>
                <w:rFonts w:ascii="Calibri"/>
                <w:sz w:val="22"/>
              </w:rPr>
            </w:pPr>
            <w:r>
              <w:rPr>
                <w:rFonts w:ascii="Calibri"/>
                <w:sz w:val="22"/>
              </w:rPr>
              <w:t>Budget</w:t>
            </w:r>
          </w:p>
        </w:tc>
      </w:tr>
      <w:tr>
        <w:trPr>
          <w:trHeight w:val="277" w:hRule="atLeast"/>
        </w:trPr>
        <w:tc>
          <w:tcPr>
            <w:tcW w:w="7370" w:type="dxa"/>
            <w:tcBorders>
              <w:top w:val="single" w:sz="8" w:space="0" w:color="000000"/>
            </w:tcBorders>
          </w:tcPr>
          <w:p>
            <w:pPr>
              <w:pStyle w:val="TableParagraph"/>
              <w:spacing w:before="19"/>
              <w:ind w:left="38"/>
              <w:rPr>
                <w:rFonts w:ascii="Microsoft Sans Serif"/>
                <w:sz w:val="20"/>
              </w:rPr>
            </w:pPr>
            <w:r>
              <w:rPr>
                <w:rFonts w:ascii="Microsoft Sans Serif"/>
                <w:sz w:val="20"/>
              </w:rPr>
              <w:t>6399-Mtgs Other (long range planning retreat)</w:t>
            </w:r>
          </w:p>
        </w:tc>
        <w:tc>
          <w:tcPr>
            <w:tcW w:w="1250" w:type="dxa"/>
            <w:tcBorders>
              <w:top w:val="single" w:sz="8" w:space="0" w:color="000000"/>
            </w:tcBorders>
          </w:tcPr>
          <w:p>
            <w:pPr>
              <w:pStyle w:val="TableParagraph"/>
              <w:rPr>
                <w:sz w:val="18"/>
              </w:rPr>
            </w:pPr>
          </w:p>
        </w:tc>
        <w:tc>
          <w:tcPr>
            <w:tcW w:w="1084" w:type="dxa"/>
            <w:tcBorders>
              <w:top w:val="single" w:sz="8" w:space="0" w:color="000000"/>
            </w:tcBorders>
          </w:tcPr>
          <w:p>
            <w:pPr>
              <w:pStyle w:val="TableParagraph"/>
              <w:spacing w:before="19"/>
              <w:ind w:right="104"/>
              <w:jc w:val="right"/>
              <w:rPr>
                <w:rFonts w:ascii="Microsoft Sans Serif"/>
                <w:sz w:val="20"/>
              </w:rPr>
            </w:pPr>
            <w:r>
              <w:rPr>
                <w:rFonts w:ascii="Microsoft Sans Serif"/>
                <w:w w:val="95"/>
                <w:sz w:val="20"/>
              </w:rPr>
              <w:t>5,000</w:t>
            </w:r>
          </w:p>
        </w:tc>
      </w:tr>
      <w:tr>
        <w:trPr>
          <w:trHeight w:val="290" w:hRule="atLeast"/>
        </w:trPr>
        <w:tc>
          <w:tcPr>
            <w:tcW w:w="7370" w:type="dxa"/>
          </w:tcPr>
          <w:p>
            <w:pPr>
              <w:pStyle w:val="TableParagraph"/>
              <w:spacing w:before="31"/>
              <w:ind w:left="38"/>
              <w:rPr>
                <w:rFonts w:ascii="Microsoft Sans Serif"/>
                <w:sz w:val="20"/>
              </w:rPr>
            </w:pPr>
            <w:r>
              <w:rPr>
                <w:rFonts w:ascii="Microsoft Sans Serif"/>
                <w:sz w:val="20"/>
              </w:rPr>
              <w:t>6401-Speaker Expense (speaker exp not covered by CLE Committee)</w:t>
            </w:r>
          </w:p>
        </w:tc>
        <w:tc>
          <w:tcPr>
            <w:tcW w:w="1250" w:type="dxa"/>
          </w:tcPr>
          <w:p>
            <w:pPr>
              <w:pStyle w:val="TableParagraph"/>
              <w:rPr>
                <w:sz w:val="18"/>
              </w:rPr>
            </w:pPr>
          </w:p>
        </w:tc>
        <w:tc>
          <w:tcPr>
            <w:tcW w:w="1084" w:type="dxa"/>
          </w:tcPr>
          <w:p>
            <w:pPr>
              <w:pStyle w:val="TableParagraph"/>
              <w:spacing w:before="31"/>
              <w:ind w:right="104"/>
              <w:jc w:val="right"/>
              <w:rPr>
                <w:rFonts w:ascii="Microsoft Sans Serif"/>
                <w:sz w:val="20"/>
              </w:rPr>
            </w:pPr>
            <w:r>
              <w:rPr>
                <w:rFonts w:ascii="Microsoft Sans Serif"/>
                <w:w w:val="95"/>
                <w:sz w:val="20"/>
              </w:rPr>
              <w:t>5,000</w:t>
            </w:r>
          </w:p>
        </w:tc>
      </w:tr>
      <w:tr>
        <w:trPr>
          <w:trHeight w:val="290" w:hRule="atLeast"/>
        </w:trPr>
        <w:tc>
          <w:tcPr>
            <w:tcW w:w="7370" w:type="dxa"/>
          </w:tcPr>
          <w:p>
            <w:pPr>
              <w:pStyle w:val="TableParagraph"/>
              <w:spacing w:before="31"/>
              <w:ind w:left="38"/>
              <w:rPr>
                <w:rFonts w:ascii="Microsoft Sans Serif"/>
                <w:sz w:val="20"/>
              </w:rPr>
            </w:pPr>
            <w:r>
              <w:rPr>
                <w:rFonts w:ascii="Microsoft Sans Serif"/>
                <w:sz w:val="20"/>
              </w:rPr>
              <w:t>6451-Committee Expense (LE cmte / cert cmte)</w:t>
            </w:r>
          </w:p>
        </w:tc>
        <w:tc>
          <w:tcPr>
            <w:tcW w:w="1250" w:type="dxa"/>
          </w:tcPr>
          <w:p>
            <w:pPr>
              <w:pStyle w:val="TableParagraph"/>
              <w:rPr>
                <w:sz w:val="18"/>
              </w:rPr>
            </w:pPr>
          </w:p>
        </w:tc>
        <w:tc>
          <w:tcPr>
            <w:tcW w:w="1084" w:type="dxa"/>
          </w:tcPr>
          <w:p>
            <w:pPr>
              <w:pStyle w:val="TableParagraph"/>
              <w:spacing w:before="31"/>
              <w:ind w:right="104"/>
              <w:jc w:val="right"/>
              <w:rPr>
                <w:rFonts w:ascii="Microsoft Sans Serif"/>
                <w:sz w:val="20"/>
              </w:rPr>
            </w:pPr>
            <w:r>
              <w:rPr>
                <w:rFonts w:ascii="Microsoft Sans Serif"/>
                <w:w w:val="95"/>
                <w:sz w:val="20"/>
              </w:rPr>
              <w:t>2,000</w:t>
            </w:r>
          </w:p>
        </w:tc>
      </w:tr>
      <w:tr>
        <w:trPr>
          <w:trHeight w:val="290" w:hRule="atLeast"/>
        </w:trPr>
        <w:tc>
          <w:tcPr>
            <w:tcW w:w="7370" w:type="dxa"/>
          </w:tcPr>
          <w:p>
            <w:pPr>
              <w:pStyle w:val="TableParagraph"/>
              <w:spacing w:before="31"/>
              <w:ind w:left="38"/>
              <w:rPr>
                <w:rFonts w:ascii="Microsoft Sans Serif"/>
                <w:sz w:val="20"/>
              </w:rPr>
            </w:pPr>
            <w:r>
              <w:rPr>
                <w:rFonts w:ascii="Microsoft Sans Serif"/>
                <w:sz w:val="20"/>
              </w:rPr>
              <w:t>6599-Brd/Off Other (chair's annual convention expenses)</w:t>
            </w:r>
          </w:p>
        </w:tc>
        <w:tc>
          <w:tcPr>
            <w:tcW w:w="1250" w:type="dxa"/>
          </w:tcPr>
          <w:p>
            <w:pPr>
              <w:pStyle w:val="TableParagraph"/>
              <w:rPr>
                <w:sz w:val="18"/>
              </w:rPr>
            </w:pPr>
          </w:p>
        </w:tc>
        <w:tc>
          <w:tcPr>
            <w:tcW w:w="1084" w:type="dxa"/>
          </w:tcPr>
          <w:p>
            <w:pPr>
              <w:pStyle w:val="TableParagraph"/>
              <w:spacing w:before="31"/>
              <w:ind w:right="104"/>
              <w:jc w:val="right"/>
              <w:rPr>
                <w:rFonts w:ascii="Microsoft Sans Serif"/>
                <w:sz w:val="20"/>
              </w:rPr>
            </w:pPr>
            <w:r>
              <w:rPr>
                <w:rFonts w:ascii="Microsoft Sans Serif"/>
                <w:w w:val="95"/>
                <w:sz w:val="20"/>
              </w:rPr>
              <w:t>400</w:t>
            </w:r>
          </w:p>
        </w:tc>
      </w:tr>
      <w:tr>
        <w:trPr>
          <w:trHeight w:val="290" w:hRule="atLeast"/>
        </w:trPr>
        <w:tc>
          <w:tcPr>
            <w:tcW w:w="7370" w:type="dxa"/>
          </w:tcPr>
          <w:p>
            <w:pPr>
              <w:pStyle w:val="TableParagraph"/>
              <w:spacing w:before="31"/>
              <w:ind w:left="38"/>
              <w:rPr>
                <w:rFonts w:ascii="Microsoft Sans Serif"/>
                <w:sz w:val="20"/>
              </w:rPr>
            </w:pPr>
            <w:r>
              <w:rPr>
                <w:rFonts w:ascii="Microsoft Sans Serif"/>
                <w:sz w:val="20"/>
              </w:rPr>
              <w:t>7001-Grant/Award/Donation (awards)</w:t>
            </w:r>
          </w:p>
        </w:tc>
        <w:tc>
          <w:tcPr>
            <w:tcW w:w="1250" w:type="dxa"/>
          </w:tcPr>
          <w:p>
            <w:pPr>
              <w:pStyle w:val="TableParagraph"/>
              <w:spacing w:before="31"/>
              <w:ind w:right="186"/>
              <w:jc w:val="right"/>
              <w:rPr>
                <w:rFonts w:ascii="Microsoft Sans Serif"/>
                <w:sz w:val="20"/>
              </w:rPr>
            </w:pPr>
            <w:r>
              <w:rPr>
                <w:rFonts w:ascii="Microsoft Sans Serif"/>
                <w:w w:val="95"/>
                <w:sz w:val="20"/>
              </w:rPr>
              <w:t>55</w:t>
            </w:r>
          </w:p>
        </w:tc>
        <w:tc>
          <w:tcPr>
            <w:tcW w:w="1084" w:type="dxa"/>
          </w:tcPr>
          <w:p>
            <w:pPr>
              <w:pStyle w:val="TableParagraph"/>
              <w:spacing w:before="31"/>
              <w:ind w:right="104"/>
              <w:jc w:val="right"/>
              <w:rPr>
                <w:rFonts w:ascii="Microsoft Sans Serif"/>
                <w:sz w:val="20"/>
              </w:rPr>
            </w:pPr>
            <w:r>
              <w:rPr>
                <w:rFonts w:ascii="Microsoft Sans Serif"/>
                <w:w w:val="95"/>
                <w:sz w:val="20"/>
              </w:rPr>
              <w:t>7,000</w:t>
            </w:r>
          </w:p>
        </w:tc>
      </w:tr>
      <w:tr>
        <w:trPr>
          <w:trHeight w:val="290" w:hRule="atLeast"/>
        </w:trPr>
        <w:tc>
          <w:tcPr>
            <w:tcW w:w="7370" w:type="dxa"/>
          </w:tcPr>
          <w:p>
            <w:pPr>
              <w:pStyle w:val="TableParagraph"/>
              <w:spacing w:before="31"/>
              <w:ind w:left="38"/>
              <w:rPr>
                <w:rFonts w:ascii="Microsoft Sans Serif"/>
                <w:sz w:val="20"/>
              </w:rPr>
            </w:pPr>
            <w:r>
              <w:rPr>
                <w:rFonts w:ascii="Microsoft Sans Serif"/>
                <w:sz w:val="20"/>
              </w:rPr>
              <w:t>7011-Scholarship/Fellowship (law school scholarships)</w:t>
            </w:r>
          </w:p>
        </w:tc>
        <w:tc>
          <w:tcPr>
            <w:tcW w:w="1250" w:type="dxa"/>
          </w:tcPr>
          <w:p>
            <w:pPr>
              <w:pStyle w:val="TableParagraph"/>
              <w:rPr>
                <w:sz w:val="18"/>
              </w:rPr>
            </w:pPr>
          </w:p>
        </w:tc>
        <w:tc>
          <w:tcPr>
            <w:tcW w:w="1084" w:type="dxa"/>
          </w:tcPr>
          <w:p>
            <w:pPr>
              <w:pStyle w:val="TableParagraph"/>
              <w:spacing w:before="31"/>
              <w:ind w:right="104"/>
              <w:jc w:val="right"/>
              <w:rPr>
                <w:rFonts w:ascii="Microsoft Sans Serif"/>
                <w:sz w:val="20"/>
              </w:rPr>
            </w:pPr>
            <w:r>
              <w:rPr>
                <w:rFonts w:ascii="Microsoft Sans Serif"/>
                <w:w w:val="95"/>
                <w:sz w:val="20"/>
              </w:rPr>
              <w:t>12,000</w:t>
            </w:r>
          </w:p>
        </w:tc>
      </w:tr>
      <w:tr>
        <w:trPr>
          <w:trHeight w:val="282" w:hRule="atLeast"/>
        </w:trPr>
        <w:tc>
          <w:tcPr>
            <w:tcW w:w="7370" w:type="dxa"/>
          </w:tcPr>
          <w:p>
            <w:pPr>
              <w:pStyle w:val="TableParagraph"/>
              <w:spacing w:before="31"/>
              <w:ind w:left="38"/>
              <w:rPr>
                <w:rFonts w:ascii="Microsoft Sans Serif"/>
                <w:sz w:val="20"/>
              </w:rPr>
            </w:pPr>
            <w:r>
              <w:rPr>
                <w:rFonts w:ascii="Microsoft Sans Serif"/>
                <w:sz w:val="20"/>
              </w:rPr>
              <w:t>7999-Other Operating Exp (operating reserve/miscellaneous)</w:t>
            </w:r>
          </w:p>
        </w:tc>
        <w:tc>
          <w:tcPr>
            <w:tcW w:w="1250" w:type="dxa"/>
            <w:tcBorders>
              <w:bottom w:val="single" w:sz="8" w:space="0" w:color="000000"/>
            </w:tcBorders>
          </w:tcPr>
          <w:p>
            <w:pPr>
              <w:pStyle w:val="TableParagraph"/>
              <w:rPr>
                <w:sz w:val="18"/>
              </w:rPr>
            </w:pPr>
          </w:p>
        </w:tc>
        <w:tc>
          <w:tcPr>
            <w:tcW w:w="1084" w:type="dxa"/>
            <w:tcBorders>
              <w:bottom w:val="single" w:sz="8" w:space="0" w:color="000000"/>
            </w:tcBorders>
          </w:tcPr>
          <w:p>
            <w:pPr>
              <w:pStyle w:val="TableParagraph"/>
              <w:spacing w:before="31"/>
              <w:ind w:right="104"/>
              <w:jc w:val="right"/>
              <w:rPr>
                <w:rFonts w:ascii="Microsoft Sans Serif"/>
                <w:sz w:val="20"/>
              </w:rPr>
            </w:pPr>
            <w:r>
              <w:rPr>
                <w:rFonts w:ascii="Microsoft Sans Serif"/>
                <w:w w:val="95"/>
                <w:sz w:val="20"/>
              </w:rPr>
              <w:t>550</w:t>
            </w:r>
          </w:p>
        </w:tc>
      </w:tr>
      <w:tr>
        <w:trPr>
          <w:trHeight w:val="245" w:hRule="atLeast"/>
        </w:trPr>
        <w:tc>
          <w:tcPr>
            <w:tcW w:w="7370" w:type="dxa"/>
          </w:tcPr>
          <w:p>
            <w:pPr>
              <w:pStyle w:val="TableParagraph"/>
              <w:spacing w:line="206" w:lineRule="exact" w:before="19"/>
              <w:ind w:left="38"/>
              <w:rPr>
                <w:rFonts w:ascii="Microsoft Sans Serif"/>
                <w:b/>
                <w:sz w:val="20"/>
              </w:rPr>
            </w:pPr>
            <w:r>
              <w:rPr>
                <w:rFonts w:ascii="Microsoft Sans Serif"/>
                <w:b/>
                <w:sz w:val="20"/>
              </w:rPr>
              <w:t>Total Other Expense</w:t>
            </w:r>
          </w:p>
        </w:tc>
        <w:tc>
          <w:tcPr>
            <w:tcW w:w="1250" w:type="dxa"/>
            <w:tcBorders>
              <w:top w:val="single" w:sz="8" w:space="0" w:color="000000"/>
            </w:tcBorders>
          </w:tcPr>
          <w:p>
            <w:pPr>
              <w:pStyle w:val="TableParagraph"/>
              <w:spacing w:line="206" w:lineRule="exact" w:before="19"/>
              <w:ind w:right="189"/>
              <w:jc w:val="right"/>
              <w:rPr>
                <w:rFonts w:ascii="Microsoft Sans Serif"/>
                <w:b/>
                <w:sz w:val="20"/>
              </w:rPr>
            </w:pPr>
            <w:r>
              <w:rPr>
                <w:rFonts w:ascii="Microsoft Sans Serif"/>
                <w:b/>
                <w:sz w:val="20"/>
              </w:rPr>
              <w:t>5,464</w:t>
            </w:r>
          </w:p>
        </w:tc>
        <w:tc>
          <w:tcPr>
            <w:tcW w:w="1084" w:type="dxa"/>
            <w:tcBorders>
              <w:top w:val="single" w:sz="8" w:space="0" w:color="000000"/>
            </w:tcBorders>
          </w:tcPr>
          <w:p>
            <w:pPr>
              <w:pStyle w:val="TableParagraph"/>
              <w:spacing w:line="206" w:lineRule="exact" w:before="19"/>
              <w:ind w:right="107"/>
              <w:jc w:val="right"/>
              <w:rPr>
                <w:rFonts w:ascii="Microsoft Sans Serif"/>
                <w:b/>
                <w:sz w:val="20"/>
              </w:rPr>
            </w:pPr>
            <w:r>
              <w:rPr>
                <w:rFonts w:ascii="Microsoft Sans Serif"/>
                <w:b/>
                <w:sz w:val="20"/>
              </w:rPr>
              <w:t>76,550</w:t>
            </w:r>
          </w:p>
        </w:tc>
      </w:tr>
    </w:tbl>
    <w:p>
      <w:pPr>
        <w:spacing w:line="240" w:lineRule="auto" w:before="0"/>
        <w:rPr>
          <w:sz w:val="20"/>
        </w:rPr>
      </w:pPr>
      <w:r>
        <w:rPr/>
        <w:pict>
          <v:group style="position:absolute;margin-left:422.962189pt;margin-top:443.391022pt;width:116.8pt;height:2.9pt;mso-position-horizontal-relative:page;mso-position-vertical-relative:page;z-index:-253903872" coordorigin="8459,8868" coordsize="2336,58">
            <v:line style="position:absolute" from="8459,8877" to="10794,8877" stroked="true" strokeweight=".96pt" strokecolor="#000000">
              <v:stroke dashstyle="solid"/>
            </v:line>
            <v:line style="position:absolute" from="8459,8916" to="10794,8916" stroked="true" strokeweight=".959pt" strokecolor="#000000">
              <v:stroke dashstyle="solid"/>
            </v:line>
            <w10:wrap type="none"/>
          </v:group>
        </w:pict>
      </w:r>
    </w:p>
    <w:p>
      <w:pPr>
        <w:spacing w:line="240" w:lineRule="auto" w:before="6" w:after="1"/>
        <w:rPr>
          <w:sz w:val="11"/>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2"/>
        <w:gridCol w:w="1332"/>
        <w:gridCol w:w="1003"/>
      </w:tblGrid>
      <w:tr>
        <w:trPr>
          <w:trHeight w:val="257" w:hRule="atLeast"/>
        </w:trPr>
        <w:tc>
          <w:tcPr>
            <w:tcW w:w="7532" w:type="dxa"/>
          </w:tcPr>
          <w:p>
            <w:pPr>
              <w:pStyle w:val="TableParagraph"/>
              <w:spacing w:line="226" w:lineRule="exact"/>
              <w:ind w:left="200"/>
              <w:rPr>
                <w:rFonts w:ascii="Microsoft Sans Serif"/>
                <w:sz w:val="20"/>
              </w:rPr>
            </w:pPr>
            <w:r>
              <w:rPr>
                <w:rFonts w:ascii="Microsoft Sans Serif"/>
                <w:sz w:val="20"/>
              </w:rPr>
              <w:t>8021-Section Admin Fee (FY 18-19 amount is $18 for paying members only)</w:t>
            </w:r>
          </w:p>
        </w:tc>
        <w:tc>
          <w:tcPr>
            <w:tcW w:w="1332" w:type="dxa"/>
          </w:tcPr>
          <w:p>
            <w:pPr>
              <w:pStyle w:val="TableParagraph"/>
              <w:spacing w:line="226" w:lineRule="exact"/>
              <w:ind w:right="269"/>
              <w:jc w:val="right"/>
              <w:rPr>
                <w:rFonts w:ascii="Microsoft Sans Serif"/>
                <w:sz w:val="20"/>
              </w:rPr>
            </w:pPr>
            <w:r>
              <w:rPr>
                <w:rFonts w:ascii="Microsoft Sans Serif"/>
                <w:w w:val="95"/>
                <w:sz w:val="20"/>
              </w:rPr>
              <w:t>36,162</w:t>
            </w:r>
          </w:p>
        </w:tc>
        <w:tc>
          <w:tcPr>
            <w:tcW w:w="1003" w:type="dxa"/>
          </w:tcPr>
          <w:p>
            <w:pPr>
              <w:pStyle w:val="TableParagraph"/>
              <w:spacing w:line="226" w:lineRule="exact"/>
              <w:ind w:right="106"/>
              <w:jc w:val="right"/>
              <w:rPr>
                <w:rFonts w:ascii="Microsoft Sans Serif"/>
                <w:sz w:val="20"/>
              </w:rPr>
            </w:pPr>
            <w:r>
              <w:rPr>
                <w:rFonts w:ascii="Microsoft Sans Serif"/>
                <w:w w:val="95"/>
                <w:sz w:val="20"/>
              </w:rPr>
              <w:t>36,522</w:t>
            </w:r>
          </w:p>
        </w:tc>
      </w:tr>
      <w:tr>
        <w:trPr>
          <w:trHeight w:val="290" w:hRule="atLeast"/>
        </w:trPr>
        <w:tc>
          <w:tcPr>
            <w:tcW w:w="7532" w:type="dxa"/>
          </w:tcPr>
          <w:p>
            <w:pPr>
              <w:pStyle w:val="TableParagraph"/>
              <w:spacing w:before="31"/>
              <w:ind w:left="200"/>
              <w:rPr>
                <w:rFonts w:ascii="Microsoft Sans Serif"/>
                <w:sz w:val="20"/>
              </w:rPr>
            </w:pPr>
            <w:r>
              <w:rPr>
                <w:rFonts w:ascii="Microsoft Sans Serif"/>
                <w:sz w:val="20"/>
              </w:rPr>
              <w:t>8101-Printing In-House (Bar's printshop)</w:t>
            </w:r>
          </w:p>
        </w:tc>
        <w:tc>
          <w:tcPr>
            <w:tcW w:w="1332" w:type="dxa"/>
          </w:tcPr>
          <w:p>
            <w:pPr>
              <w:pStyle w:val="TableParagraph"/>
              <w:spacing w:before="31"/>
              <w:ind w:right="268"/>
              <w:jc w:val="right"/>
              <w:rPr>
                <w:rFonts w:ascii="Microsoft Sans Serif"/>
                <w:sz w:val="20"/>
              </w:rPr>
            </w:pPr>
            <w:r>
              <w:rPr>
                <w:rFonts w:ascii="Microsoft Sans Serif"/>
                <w:w w:val="99"/>
                <w:sz w:val="20"/>
              </w:rPr>
              <w:t>9</w:t>
            </w:r>
          </w:p>
        </w:tc>
        <w:tc>
          <w:tcPr>
            <w:tcW w:w="1003" w:type="dxa"/>
          </w:tcPr>
          <w:p>
            <w:pPr>
              <w:pStyle w:val="TableParagraph"/>
              <w:spacing w:before="31"/>
              <w:ind w:right="105"/>
              <w:jc w:val="right"/>
              <w:rPr>
                <w:rFonts w:ascii="Microsoft Sans Serif"/>
                <w:sz w:val="20"/>
              </w:rPr>
            </w:pPr>
            <w:r>
              <w:rPr>
                <w:rFonts w:ascii="Microsoft Sans Serif"/>
                <w:w w:val="95"/>
                <w:sz w:val="20"/>
              </w:rPr>
              <w:t>300</w:t>
            </w:r>
          </w:p>
        </w:tc>
      </w:tr>
      <w:tr>
        <w:trPr>
          <w:trHeight w:val="282" w:hRule="atLeast"/>
        </w:trPr>
        <w:tc>
          <w:tcPr>
            <w:tcW w:w="7532" w:type="dxa"/>
          </w:tcPr>
          <w:p>
            <w:pPr>
              <w:pStyle w:val="TableParagraph"/>
              <w:spacing w:before="31"/>
              <w:ind w:left="200"/>
              <w:rPr>
                <w:rFonts w:ascii="Microsoft Sans Serif"/>
                <w:sz w:val="20"/>
              </w:rPr>
            </w:pPr>
            <w:r>
              <w:rPr>
                <w:rFonts w:ascii="Microsoft Sans Serif"/>
                <w:sz w:val="20"/>
              </w:rPr>
              <w:t>8171-Course Approval Fee (section-sponsored CLE approval fee)(zero'd out)</w:t>
            </w:r>
          </w:p>
        </w:tc>
        <w:tc>
          <w:tcPr>
            <w:tcW w:w="1332" w:type="dxa"/>
            <w:tcBorders>
              <w:bottom w:val="single" w:sz="8" w:space="0" w:color="000000"/>
            </w:tcBorders>
          </w:tcPr>
          <w:p>
            <w:pPr>
              <w:pStyle w:val="TableParagraph"/>
              <w:rPr>
                <w:sz w:val="18"/>
              </w:rPr>
            </w:pPr>
          </w:p>
        </w:tc>
        <w:tc>
          <w:tcPr>
            <w:tcW w:w="1003" w:type="dxa"/>
            <w:tcBorders>
              <w:bottom w:val="single" w:sz="8" w:space="0" w:color="000000"/>
            </w:tcBorders>
          </w:tcPr>
          <w:p>
            <w:pPr>
              <w:pStyle w:val="TableParagraph"/>
              <w:spacing w:before="31"/>
              <w:ind w:right="105"/>
              <w:jc w:val="right"/>
              <w:rPr>
                <w:rFonts w:ascii="Microsoft Sans Serif"/>
                <w:sz w:val="20"/>
              </w:rPr>
            </w:pPr>
            <w:r>
              <w:rPr>
                <w:rFonts w:ascii="Microsoft Sans Serif"/>
                <w:w w:val="95"/>
                <w:sz w:val="20"/>
              </w:rPr>
              <w:t>150</w:t>
            </w:r>
          </w:p>
        </w:tc>
      </w:tr>
      <w:tr>
        <w:trPr>
          <w:trHeight w:val="245" w:hRule="atLeast"/>
        </w:trPr>
        <w:tc>
          <w:tcPr>
            <w:tcW w:w="7532" w:type="dxa"/>
          </w:tcPr>
          <w:p>
            <w:pPr>
              <w:pStyle w:val="TableParagraph"/>
              <w:spacing w:line="206" w:lineRule="exact" w:before="19"/>
              <w:ind w:left="200"/>
              <w:rPr>
                <w:rFonts w:ascii="Microsoft Sans Serif"/>
                <w:b/>
                <w:sz w:val="20"/>
              </w:rPr>
            </w:pPr>
            <w:r>
              <w:rPr>
                <w:rFonts w:ascii="Microsoft Sans Serif"/>
                <w:b/>
                <w:sz w:val="20"/>
              </w:rPr>
              <w:t>Total Admin &amp; Internal Expense</w:t>
            </w:r>
          </w:p>
        </w:tc>
        <w:tc>
          <w:tcPr>
            <w:tcW w:w="1332" w:type="dxa"/>
            <w:tcBorders>
              <w:top w:val="single" w:sz="8" w:space="0" w:color="000000"/>
            </w:tcBorders>
          </w:tcPr>
          <w:p>
            <w:pPr>
              <w:pStyle w:val="TableParagraph"/>
              <w:spacing w:line="206" w:lineRule="exact" w:before="19"/>
              <w:ind w:right="271"/>
              <w:jc w:val="right"/>
              <w:rPr>
                <w:rFonts w:ascii="Microsoft Sans Serif"/>
                <w:b/>
                <w:sz w:val="20"/>
              </w:rPr>
            </w:pPr>
            <w:r>
              <w:rPr>
                <w:rFonts w:ascii="Microsoft Sans Serif"/>
                <w:b/>
                <w:sz w:val="20"/>
              </w:rPr>
              <w:t>36,171</w:t>
            </w:r>
          </w:p>
        </w:tc>
        <w:tc>
          <w:tcPr>
            <w:tcW w:w="1003" w:type="dxa"/>
            <w:tcBorders>
              <w:top w:val="single" w:sz="8" w:space="0" w:color="000000"/>
            </w:tcBorders>
          </w:tcPr>
          <w:p>
            <w:pPr>
              <w:pStyle w:val="TableParagraph"/>
              <w:spacing w:line="206" w:lineRule="exact" w:before="19"/>
              <w:ind w:right="108"/>
              <w:jc w:val="right"/>
              <w:rPr>
                <w:rFonts w:ascii="Microsoft Sans Serif"/>
                <w:b/>
                <w:sz w:val="20"/>
              </w:rPr>
            </w:pPr>
            <w:r>
              <w:rPr>
                <w:rFonts w:ascii="Microsoft Sans Serif"/>
                <w:b/>
                <w:sz w:val="20"/>
              </w:rPr>
              <w:t>36,972</w:t>
            </w:r>
          </w:p>
        </w:tc>
      </w:tr>
    </w:tbl>
    <w:p>
      <w:pPr>
        <w:spacing w:line="240" w:lineRule="auto" w:before="0"/>
        <w:rPr>
          <w:sz w:val="20"/>
        </w:rPr>
      </w:pPr>
    </w:p>
    <w:p>
      <w:pPr>
        <w:spacing w:line="240" w:lineRule="auto" w:before="10" w:after="0"/>
        <w:rPr>
          <w:sz w:val="10"/>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17"/>
      </w:tblGrid>
      <w:tr>
        <w:trPr>
          <w:trHeight w:val="257" w:hRule="atLeast"/>
        </w:trPr>
        <w:tc>
          <w:tcPr>
            <w:tcW w:w="6717" w:type="dxa"/>
          </w:tcPr>
          <w:p>
            <w:pPr>
              <w:pStyle w:val="TableParagraph"/>
              <w:spacing w:line="226" w:lineRule="exact"/>
              <w:ind w:left="200"/>
              <w:rPr>
                <w:rFonts w:ascii="Microsoft Sans Serif"/>
                <w:sz w:val="20"/>
              </w:rPr>
            </w:pPr>
            <w:r>
              <w:rPr>
                <w:rFonts w:ascii="Microsoft Sans Serif"/>
                <w:sz w:val="20"/>
              </w:rPr>
              <w:t>9692-Transfer Out-Council of Sections (council of sections contribution)</w:t>
            </w:r>
          </w:p>
        </w:tc>
      </w:tr>
      <w:tr>
        <w:trPr>
          <w:trHeight w:val="257" w:hRule="atLeast"/>
        </w:trPr>
        <w:tc>
          <w:tcPr>
            <w:tcW w:w="6717" w:type="dxa"/>
          </w:tcPr>
          <w:p>
            <w:pPr>
              <w:pStyle w:val="TableParagraph"/>
              <w:spacing w:line="206" w:lineRule="exact" w:before="31"/>
              <w:ind w:left="200"/>
              <w:rPr>
                <w:rFonts w:ascii="Microsoft Sans Serif"/>
                <w:b/>
                <w:sz w:val="20"/>
              </w:rPr>
            </w:pPr>
            <w:r>
              <w:rPr>
                <w:rFonts w:ascii="Microsoft Sans Serif"/>
                <w:b/>
                <w:sz w:val="20"/>
              </w:rPr>
              <w:t>Total InterFund Transfers Out</w:t>
            </w:r>
          </w:p>
        </w:tc>
      </w:tr>
    </w:tbl>
    <w:p>
      <w:pPr>
        <w:spacing w:line="240" w:lineRule="auto" w:before="2"/>
        <w:rPr>
          <w:sz w:val="22"/>
        </w:rPr>
      </w:pPr>
    </w:p>
    <w:p>
      <w:pPr>
        <w:spacing w:before="99" w:after="26"/>
        <w:ind w:left="307" w:right="0" w:firstLine="0"/>
        <w:jc w:val="left"/>
        <w:rPr>
          <w:rFonts w:ascii="Microsoft Sans Serif"/>
          <w:b/>
          <w:sz w:val="20"/>
        </w:rPr>
      </w:pPr>
      <w:r>
        <w:rPr/>
        <w:pict>
          <v:line style="position:absolute;mso-position-horizontal-relative:page;mso-position-vertical-relative:paragraph;z-index:-253904896" from="422.962189pt,46.684998pt" to="539.722189pt,46.684998pt" stroked="true" strokeweight=".96pt" strokecolor="#000000">
            <v:stroke dashstyle="solid"/>
            <w10:wrap type="none"/>
          </v:line>
        </w:pict>
      </w:r>
      <w:r>
        <w:rPr/>
        <w:pict>
          <v:shape style="position:absolute;margin-left:422.962189pt;margin-top:-38.576477pt;width:116.8pt;height:54.85pt;mso-position-horizontal-relative:page;mso-position-vertical-relative:paragraph;z-index:2516633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6"/>
                    <w:gridCol w:w="1060"/>
                  </w:tblGrid>
                  <w:tr>
                    <w:trPr>
                      <w:trHeight w:val="250" w:hRule="atLeast"/>
                    </w:trPr>
                    <w:tc>
                      <w:tcPr>
                        <w:tcW w:w="1276" w:type="dxa"/>
                        <w:tcBorders>
                          <w:bottom w:val="single" w:sz="8" w:space="0" w:color="000000"/>
                        </w:tcBorders>
                      </w:tcPr>
                      <w:p>
                        <w:pPr>
                          <w:pStyle w:val="TableParagraph"/>
                          <w:spacing w:line="226" w:lineRule="exact"/>
                          <w:ind w:right="213"/>
                          <w:jc w:val="right"/>
                          <w:rPr>
                            <w:rFonts w:ascii="Microsoft Sans Serif"/>
                            <w:sz w:val="20"/>
                          </w:rPr>
                        </w:pPr>
                        <w:r>
                          <w:rPr>
                            <w:rFonts w:ascii="Microsoft Sans Serif"/>
                            <w:sz w:val="20"/>
                          </w:rPr>
                          <w:t>300</w:t>
                        </w:r>
                      </w:p>
                    </w:tc>
                    <w:tc>
                      <w:tcPr>
                        <w:tcW w:w="1060" w:type="dxa"/>
                        <w:tcBorders>
                          <w:bottom w:val="single" w:sz="8" w:space="0" w:color="000000"/>
                        </w:tcBorders>
                      </w:tcPr>
                      <w:p>
                        <w:pPr>
                          <w:pStyle w:val="TableParagraph"/>
                          <w:spacing w:line="226" w:lineRule="exact"/>
                          <w:ind w:right="106"/>
                          <w:jc w:val="right"/>
                          <w:rPr>
                            <w:rFonts w:ascii="Microsoft Sans Serif"/>
                            <w:sz w:val="20"/>
                          </w:rPr>
                        </w:pPr>
                        <w:r>
                          <w:rPr>
                            <w:rFonts w:ascii="Microsoft Sans Serif"/>
                            <w:w w:val="95"/>
                            <w:sz w:val="20"/>
                          </w:rPr>
                          <w:t>300</w:t>
                        </w:r>
                      </w:p>
                    </w:tc>
                  </w:tr>
                  <w:tr>
                    <w:trPr>
                      <w:trHeight w:val="560" w:hRule="atLeast"/>
                    </w:trPr>
                    <w:tc>
                      <w:tcPr>
                        <w:tcW w:w="1276" w:type="dxa"/>
                        <w:tcBorders>
                          <w:top w:val="single" w:sz="8" w:space="0" w:color="000000"/>
                          <w:bottom w:val="single" w:sz="8" w:space="0" w:color="000000"/>
                        </w:tcBorders>
                      </w:tcPr>
                      <w:p>
                        <w:pPr>
                          <w:pStyle w:val="TableParagraph"/>
                          <w:spacing w:before="19"/>
                          <w:ind w:right="215"/>
                          <w:jc w:val="right"/>
                          <w:rPr>
                            <w:rFonts w:ascii="Microsoft Sans Serif"/>
                            <w:b/>
                            <w:sz w:val="20"/>
                          </w:rPr>
                        </w:pPr>
                        <w:r>
                          <w:rPr>
                            <w:rFonts w:ascii="Microsoft Sans Serif"/>
                            <w:b/>
                            <w:sz w:val="20"/>
                          </w:rPr>
                          <w:t>300</w:t>
                        </w:r>
                      </w:p>
                    </w:tc>
                    <w:tc>
                      <w:tcPr>
                        <w:tcW w:w="1060" w:type="dxa"/>
                        <w:tcBorders>
                          <w:top w:val="single" w:sz="8" w:space="0" w:color="000000"/>
                          <w:bottom w:val="single" w:sz="8" w:space="0" w:color="000000"/>
                        </w:tcBorders>
                      </w:tcPr>
                      <w:p>
                        <w:pPr>
                          <w:pStyle w:val="TableParagraph"/>
                          <w:spacing w:before="19"/>
                          <w:ind w:right="109"/>
                          <w:jc w:val="right"/>
                          <w:rPr>
                            <w:rFonts w:ascii="Microsoft Sans Serif"/>
                            <w:b/>
                            <w:sz w:val="20"/>
                          </w:rPr>
                        </w:pPr>
                        <w:r>
                          <w:rPr>
                            <w:rFonts w:ascii="Microsoft Sans Serif"/>
                            <w:b/>
                            <w:sz w:val="20"/>
                          </w:rPr>
                          <w:t>300</w:t>
                        </w:r>
                      </w:p>
                    </w:tc>
                  </w:tr>
                  <w:tr>
                    <w:trPr>
                      <w:trHeight w:val="245" w:hRule="atLeast"/>
                    </w:trPr>
                    <w:tc>
                      <w:tcPr>
                        <w:tcW w:w="1276" w:type="dxa"/>
                        <w:tcBorders>
                          <w:top w:val="single" w:sz="8" w:space="0" w:color="000000"/>
                        </w:tcBorders>
                      </w:tcPr>
                      <w:p>
                        <w:pPr>
                          <w:pStyle w:val="TableParagraph"/>
                          <w:spacing w:line="206" w:lineRule="exact" w:before="19"/>
                          <w:ind w:right="215"/>
                          <w:jc w:val="right"/>
                          <w:rPr>
                            <w:rFonts w:ascii="Microsoft Sans Serif"/>
                            <w:b/>
                            <w:sz w:val="20"/>
                          </w:rPr>
                        </w:pPr>
                        <w:r>
                          <w:rPr>
                            <w:rFonts w:ascii="Microsoft Sans Serif"/>
                            <w:b/>
                            <w:sz w:val="20"/>
                          </w:rPr>
                          <w:t>52,583</w:t>
                        </w:r>
                      </w:p>
                    </w:tc>
                    <w:tc>
                      <w:tcPr>
                        <w:tcW w:w="1060" w:type="dxa"/>
                        <w:tcBorders>
                          <w:top w:val="single" w:sz="8" w:space="0" w:color="000000"/>
                        </w:tcBorders>
                      </w:tcPr>
                      <w:p>
                        <w:pPr>
                          <w:pStyle w:val="TableParagraph"/>
                          <w:spacing w:line="206" w:lineRule="exact" w:before="19"/>
                          <w:ind w:right="109"/>
                          <w:jc w:val="right"/>
                          <w:rPr>
                            <w:rFonts w:ascii="Microsoft Sans Serif"/>
                            <w:b/>
                            <w:sz w:val="20"/>
                          </w:rPr>
                        </w:pPr>
                        <w:r>
                          <w:rPr>
                            <w:rFonts w:ascii="Microsoft Sans Serif"/>
                            <w:b/>
                            <w:sz w:val="20"/>
                          </w:rPr>
                          <w:t>160,842</w:t>
                        </w:r>
                      </w:p>
                    </w:tc>
                  </w:tr>
                </w:tbl>
                <w:p>
                  <w:pPr>
                    <w:pStyle w:val="BodyText"/>
                  </w:pPr>
                </w:p>
              </w:txbxContent>
            </v:textbox>
            <w10:wrap type="none"/>
          </v:shape>
        </w:pict>
      </w:r>
      <w:r>
        <w:rPr>
          <w:rFonts w:ascii="Microsoft Sans Serif"/>
          <w:b/>
          <w:sz w:val="20"/>
        </w:rPr>
        <w:t>Total Expense</w:t>
      </w: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2"/>
        <w:gridCol w:w="1352"/>
        <w:gridCol w:w="983"/>
      </w:tblGrid>
      <w:tr>
        <w:trPr>
          <w:trHeight w:val="592" w:hRule="atLeast"/>
        </w:trPr>
        <w:tc>
          <w:tcPr>
            <w:tcW w:w="7532" w:type="dxa"/>
          </w:tcPr>
          <w:p>
            <w:pPr>
              <w:pStyle w:val="TableParagraph"/>
              <w:spacing w:before="8"/>
              <w:rPr>
                <w:rFonts w:ascii="Microsoft Sans Serif"/>
                <w:b/>
                <w:sz w:val="26"/>
              </w:rPr>
            </w:pPr>
          </w:p>
          <w:p>
            <w:pPr>
              <w:pStyle w:val="TableParagraph"/>
              <w:ind w:left="200"/>
              <w:rPr>
                <w:rFonts w:ascii="Microsoft Sans Serif"/>
                <w:b/>
                <w:sz w:val="20"/>
              </w:rPr>
            </w:pPr>
            <w:r>
              <w:rPr>
                <w:rFonts w:ascii="Microsoft Sans Serif"/>
                <w:b/>
                <w:sz w:val="20"/>
              </w:rPr>
              <w:t>Net Income</w:t>
            </w:r>
          </w:p>
        </w:tc>
        <w:tc>
          <w:tcPr>
            <w:tcW w:w="1352" w:type="dxa"/>
            <w:tcBorders>
              <w:top w:val="single" w:sz="8" w:space="0" w:color="000000"/>
              <w:bottom w:val="single" w:sz="8" w:space="0" w:color="000000"/>
            </w:tcBorders>
          </w:tcPr>
          <w:p>
            <w:pPr>
              <w:pStyle w:val="TableParagraph"/>
              <w:spacing w:before="8"/>
              <w:rPr>
                <w:rFonts w:ascii="Microsoft Sans Serif"/>
                <w:b/>
                <w:sz w:val="26"/>
              </w:rPr>
            </w:pPr>
          </w:p>
          <w:p>
            <w:pPr>
              <w:pStyle w:val="TableParagraph"/>
              <w:ind w:left="436"/>
              <w:rPr>
                <w:rFonts w:ascii="Microsoft Sans Serif"/>
                <w:b/>
                <w:sz w:val="20"/>
              </w:rPr>
            </w:pPr>
            <w:r>
              <w:rPr>
                <w:rFonts w:ascii="Microsoft Sans Serif"/>
                <w:b/>
                <w:sz w:val="20"/>
              </w:rPr>
              <w:t>51,121</w:t>
            </w:r>
          </w:p>
        </w:tc>
        <w:tc>
          <w:tcPr>
            <w:tcW w:w="983" w:type="dxa"/>
            <w:tcBorders>
              <w:top w:val="single" w:sz="8" w:space="0" w:color="000000"/>
              <w:bottom w:val="single" w:sz="8" w:space="0" w:color="000000"/>
            </w:tcBorders>
          </w:tcPr>
          <w:p>
            <w:pPr>
              <w:pStyle w:val="TableParagraph"/>
              <w:spacing w:before="8"/>
              <w:rPr>
                <w:rFonts w:ascii="Microsoft Sans Serif"/>
                <w:b/>
                <w:sz w:val="26"/>
              </w:rPr>
            </w:pPr>
          </w:p>
          <w:p>
            <w:pPr>
              <w:pStyle w:val="TableParagraph"/>
              <w:ind w:left="294"/>
              <w:rPr>
                <w:rFonts w:ascii="Microsoft Sans Serif"/>
                <w:b/>
                <w:sz w:val="20"/>
              </w:rPr>
            </w:pPr>
            <w:r>
              <w:rPr>
                <w:rFonts w:ascii="Microsoft Sans Serif"/>
                <w:b/>
                <w:sz w:val="20"/>
              </w:rPr>
              <w:t>(1,535)</w:t>
            </w:r>
          </w:p>
        </w:tc>
      </w:tr>
    </w:tbl>
    <w:p>
      <w:pPr>
        <w:pStyle w:val="BodyText"/>
        <w:spacing w:before="9"/>
        <w:rPr>
          <w:rFonts w:ascii="Microsoft Sans Serif"/>
          <w:b/>
          <w:sz w:val="26"/>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60"/>
        <w:gridCol w:w="3332"/>
      </w:tblGrid>
      <w:tr>
        <w:trPr>
          <w:trHeight w:val="225" w:hRule="atLeast"/>
        </w:trPr>
        <w:tc>
          <w:tcPr>
            <w:tcW w:w="5460" w:type="dxa"/>
          </w:tcPr>
          <w:p>
            <w:pPr>
              <w:pStyle w:val="TableParagraph"/>
              <w:spacing w:line="205" w:lineRule="exact"/>
              <w:ind w:left="200"/>
              <w:rPr>
                <w:rFonts w:ascii="Microsoft Sans Serif"/>
                <w:sz w:val="20"/>
              </w:rPr>
            </w:pPr>
            <w:r>
              <w:rPr>
                <w:rFonts w:ascii="Microsoft Sans Serif"/>
                <w:sz w:val="20"/>
              </w:rPr>
              <w:t>2001-Fund Balance, Beginning</w:t>
            </w:r>
          </w:p>
        </w:tc>
        <w:tc>
          <w:tcPr>
            <w:tcW w:w="3332" w:type="dxa"/>
          </w:tcPr>
          <w:p>
            <w:pPr>
              <w:pStyle w:val="TableParagraph"/>
              <w:spacing w:line="205" w:lineRule="exact"/>
              <w:ind w:right="197"/>
              <w:jc w:val="right"/>
              <w:rPr>
                <w:rFonts w:ascii="Microsoft Sans Serif"/>
                <w:sz w:val="20"/>
              </w:rPr>
            </w:pPr>
            <w:r>
              <w:rPr>
                <w:rFonts w:ascii="Microsoft Sans Serif"/>
                <w:w w:val="95"/>
                <w:sz w:val="20"/>
              </w:rPr>
              <w:t>99,944</w:t>
            </w:r>
          </w:p>
        </w:tc>
      </w:tr>
    </w:tbl>
    <w:p>
      <w:pPr>
        <w:pStyle w:val="BodyText"/>
        <w:rPr>
          <w:rFonts w:ascii="Microsoft Sans Serif"/>
          <w:b/>
          <w:sz w:val="20"/>
        </w:rPr>
      </w:pPr>
    </w:p>
    <w:p>
      <w:pPr>
        <w:pStyle w:val="BodyText"/>
        <w:rPr>
          <w:rFonts w:ascii="Microsoft Sans Serif"/>
          <w:b/>
          <w:sz w:val="20"/>
        </w:rPr>
      </w:pPr>
    </w:p>
    <w:p>
      <w:pPr>
        <w:pStyle w:val="BodyText"/>
        <w:spacing w:before="4"/>
        <w:rPr>
          <w:rFonts w:ascii="Microsoft Sans Serif"/>
          <w:b/>
          <w:sz w:val="16"/>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31"/>
        <w:gridCol w:w="4398"/>
      </w:tblGrid>
      <w:tr>
        <w:trPr>
          <w:trHeight w:val="308" w:hRule="atLeast"/>
        </w:trPr>
        <w:tc>
          <w:tcPr>
            <w:tcW w:w="5031" w:type="dxa"/>
          </w:tcPr>
          <w:p>
            <w:pPr>
              <w:pStyle w:val="TableParagraph"/>
              <w:spacing w:line="226" w:lineRule="exact"/>
              <w:ind w:left="200"/>
              <w:rPr>
                <w:rFonts w:ascii="Microsoft Sans Serif"/>
                <w:b/>
                <w:sz w:val="20"/>
              </w:rPr>
            </w:pPr>
            <w:r>
              <w:rPr>
                <w:rFonts w:ascii="Microsoft Sans Serif"/>
                <w:b/>
                <w:sz w:val="20"/>
              </w:rPr>
              <w:t>Fund Balance, Ending</w:t>
            </w:r>
          </w:p>
        </w:tc>
        <w:tc>
          <w:tcPr>
            <w:tcW w:w="4398" w:type="dxa"/>
          </w:tcPr>
          <w:p>
            <w:pPr>
              <w:pStyle w:val="TableParagraph"/>
              <w:spacing w:line="226" w:lineRule="exact"/>
              <w:ind w:left="2824"/>
              <w:rPr>
                <w:rFonts w:ascii="Microsoft Sans Serif"/>
                <w:b/>
                <w:sz w:val="20"/>
              </w:rPr>
            </w:pPr>
            <w:r>
              <w:rPr>
                <w:rFonts w:ascii="Microsoft Sans Serif"/>
                <w:b/>
                <w:sz w:val="20"/>
              </w:rPr>
              <w:t>151,065</w:t>
            </w:r>
          </w:p>
        </w:tc>
      </w:tr>
    </w:tbl>
    <w:p>
      <w:pPr>
        <w:spacing w:after="0" w:line="226" w:lineRule="exact"/>
        <w:rPr>
          <w:rFonts w:ascii="Microsoft Sans Serif"/>
          <w:sz w:val="20"/>
        </w:rPr>
        <w:sectPr>
          <w:pgSz w:w="12240" w:h="15840"/>
          <w:pgMar w:header="0" w:footer="523" w:top="1040" w:bottom="720" w:left="820" w:right="1200"/>
        </w:sectPr>
      </w:pPr>
    </w:p>
    <w:p>
      <w:pPr>
        <w:pStyle w:val="BodyText"/>
        <w:ind w:left="5021"/>
        <w:rPr>
          <w:rFonts w:ascii="Microsoft Sans Serif"/>
          <w:sz w:val="20"/>
        </w:rPr>
      </w:pPr>
      <w:r>
        <w:rPr>
          <w:rFonts w:ascii="Microsoft Sans Serif"/>
          <w:sz w:val="20"/>
        </w:rPr>
        <w:drawing>
          <wp:inline distT="0" distB="0" distL="0" distR="0">
            <wp:extent cx="1420749" cy="1416557"/>
            <wp:effectExtent l="0" t="0" r="0" b="0"/>
            <wp:docPr id="9" name="image3.jpeg" descr="H:\SECTIONS\LABOR\17-18 LABOR\LOGO\LEL-Logo-FINAL-Blue - salesforce with white background.jpg"/>
            <wp:cNvGraphicFramePr>
              <a:graphicFrameLocks noChangeAspect="1"/>
            </wp:cNvGraphicFramePr>
            <a:graphic>
              <a:graphicData uri="http://schemas.openxmlformats.org/drawingml/2006/picture">
                <pic:pic>
                  <pic:nvPicPr>
                    <pic:cNvPr id="10" name="image3.jpeg"/>
                    <pic:cNvPicPr/>
                  </pic:nvPicPr>
                  <pic:blipFill>
                    <a:blip r:embed="rId8" cstate="print"/>
                    <a:stretch>
                      <a:fillRect/>
                    </a:stretch>
                  </pic:blipFill>
                  <pic:spPr>
                    <a:xfrm>
                      <a:off x="0" y="0"/>
                      <a:ext cx="1420749" cy="1416557"/>
                    </a:xfrm>
                    <a:prstGeom prst="rect">
                      <a:avLst/>
                    </a:prstGeom>
                  </pic:spPr>
                </pic:pic>
              </a:graphicData>
            </a:graphic>
          </wp:inline>
        </w:drawing>
      </w:r>
      <w:r>
        <w:rPr>
          <w:rFonts w:ascii="Microsoft Sans Serif"/>
          <w:sz w:val="20"/>
        </w:rPr>
      </w:r>
    </w:p>
    <w:p>
      <w:pPr>
        <w:pStyle w:val="BodyText"/>
        <w:rPr>
          <w:rFonts w:ascii="Microsoft Sans Serif"/>
          <w:b/>
          <w:sz w:val="20"/>
        </w:rPr>
      </w:pPr>
    </w:p>
    <w:p>
      <w:pPr>
        <w:pStyle w:val="BodyText"/>
        <w:rPr>
          <w:rFonts w:ascii="Microsoft Sans Serif"/>
          <w:b/>
          <w:sz w:val="20"/>
        </w:rPr>
      </w:pPr>
    </w:p>
    <w:p>
      <w:pPr>
        <w:pStyle w:val="BodyText"/>
        <w:rPr>
          <w:rFonts w:ascii="Microsoft Sans Serif"/>
          <w:b/>
          <w:sz w:val="20"/>
        </w:rPr>
      </w:pPr>
    </w:p>
    <w:p>
      <w:pPr>
        <w:pStyle w:val="BodyText"/>
        <w:rPr>
          <w:rFonts w:ascii="Microsoft Sans Serif"/>
          <w:b/>
          <w:sz w:val="20"/>
        </w:rPr>
      </w:pPr>
    </w:p>
    <w:p>
      <w:pPr>
        <w:pStyle w:val="BodyText"/>
        <w:rPr>
          <w:rFonts w:ascii="Microsoft Sans Serif"/>
          <w:b/>
          <w:sz w:val="20"/>
        </w:rPr>
      </w:pPr>
    </w:p>
    <w:p>
      <w:pPr>
        <w:pStyle w:val="BodyText"/>
        <w:rPr>
          <w:rFonts w:ascii="Microsoft Sans Serif"/>
          <w:b/>
          <w:sz w:val="20"/>
        </w:rPr>
      </w:pPr>
    </w:p>
    <w:p>
      <w:pPr>
        <w:pStyle w:val="BodyText"/>
        <w:spacing w:before="4"/>
        <w:rPr>
          <w:rFonts w:ascii="Microsoft Sans Serif"/>
          <w:b/>
          <w:sz w:val="16"/>
        </w:rPr>
      </w:pPr>
    </w:p>
    <w:p>
      <w:pPr>
        <w:pStyle w:val="BodyText"/>
        <w:spacing w:before="90"/>
        <w:ind w:left="3096" w:right="3286"/>
        <w:jc w:val="center"/>
        <w:rPr>
          <w:rFonts w:ascii="Times New Roman"/>
        </w:rPr>
      </w:pPr>
      <w:bookmarkStart w:name="5 - Exhibit C - Section Goals (Updated)" w:id="20"/>
      <w:bookmarkEnd w:id="20"/>
      <w:r>
        <w:rPr/>
      </w:r>
      <w:r>
        <w:rPr>
          <w:rFonts w:ascii="Times New Roman"/>
        </w:rPr>
        <w:t>GOALS</w:t>
      </w:r>
    </w:p>
    <w:p>
      <w:pPr>
        <w:spacing w:after="0"/>
        <w:jc w:val="center"/>
        <w:rPr>
          <w:rFonts w:ascii="Times New Roman"/>
        </w:rPr>
        <w:sectPr>
          <w:footerReference w:type="default" r:id="rId13"/>
          <w:pgSz w:w="12240" w:h="15840"/>
          <w:pgMar w:footer="155" w:header="0" w:top="680" w:bottom="340" w:left="0" w:right="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7"/>
        <w:gridCol w:w="2527"/>
        <w:gridCol w:w="2527"/>
        <w:gridCol w:w="2877"/>
      </w:tblGrid>
      <w:tr>
        <w:trPr>
          <w:trHeight w:val="273" w:hRule="atLeast"/>
        </w:trPr>
        <w:tc>
          <w:tcPr>
            <w:tcW w:w="2527" w:type="dxa"/>
            <w:tcBorders>
              <w:top w:val="nil"/>
            </w:tcBorders>
          </w:tcPr>
          <w:p>
            <w:pPr>
              <w:pStyle w:val="TableParagraph"/>
              <w:spacing w:line="245" w:lineRule="exact"/>
              <w:ind w:left="107"/>
              <w:rPr>
                <w:sz w:val="22"/>
              </w:rPr>
            </w:pPr>
            <w:r>
              <w:rPr>
                <w:sz w:val="22"/>
              </w:rPr>
              <w:t>Committee</w:t>
            </w:r>
          </w:p>
        </w:tc>
        <w:tc>
          <w:tcPr>
            <w:tcW w:w="2527" w:type="dxa"/>
            <w:tcBorders>
              <w:top w:val="nil"/>
            </w:tcBorders>
          </w:tcPr>
          <w:p>
            <w:pPr>
              <w:pStyle w:val="TableParagraph"/>
              <w:spacing w:line="245" w:lineRule="exact"/>
              <w:ind w:left="108"/>
              <w:rPr>
                <w:sz w:val="22"/>
              </w:rPr>
            </w:pPr>
            <w:r>
              <w:rPr>
                <w:sz w:val="22"/>
              </w:rPr>
              <w:t>Charis</w:t>
            </w:r>
          </w:p>
        </w:tc>
        <w:tc>
          <w:tcPr>
            <w:tcW w:w="2527" w:type="dxa"/>
            <w:tcBorders>
              <w:top w:val="nil"/>
            </w:tcBorders>
          </w:tcPr>
          <w:p>
            <w:pPr>
              <w:pStyle w:val="TableParagraph"/>
              <w:spacing w:line="245" w:lineRule="exact"/>
              <w:ind w:left="108"/>
              <w:rPr>
                <w:sz w:val="22"/>
              </w:rPr>
            </w:pPr>
            <w:r>
              <w:rPr>
                <w:sz w:val="22"/>
              </w:rPr>
              <w:t>Goals</w:t>
            </w:r>
          </w:p>
        </w:tc>
        <w:tc>
          <w:tcPr>
            <w:tcW w:w="2877" w:type="dxa"/>
            <w:tcBorders>
              <w:top w:val="nil"/>
            </w:tcBorders>
          </w:tcPr>
          <w:p>
            <w:pPr>
              <w:pStyle w:val="TableParagraph"/>
              <w:spacing w:line="245" w:lineRule="exact"/>
              <w:ind w:left="108"/>
              <w:rPr>
                <w:sz w:val="22"/>
              </w:rPr>
            </w:pPr>
            <w:r>
              <w:rPr>
                <w:sz w:val="22"/>
              </w:rPr>
              <w:t>Notes from Chair</w:t>
            </w:r>
          </w:p>
        </w:tc>
      </w:tr>
      <w:tr>
        <w:trPr>
          <w:trHeight w:val="1388" w:hRule="atLeast"/>
        </w:trPr>
        <w:tc>
          <w:tcPr>
            <w:tcW w:w="2527" w:type="dxa"/>
            <w:tcBorders>
              <w:bottom w:val="nil"/>
            </w:tcBorders>
          </w:tcPr>
          <w:p>
            <w:pPr>
              <w:pStyle w:val="TableParagraph"/>
              <w:spacing w:line="245" w:lineRule="exact"/>
              <w:ind w:left="107"/>
              <w:rPr>
                <w:sz w:val="22"/>
              </w:rPr>
            </w:pPr>
            <w:r>
              <w:rPr>
                <w:sz w:val="22"/>
              </w:rPr>
              <w:t>ABA Liaison</w:t>
            </w:r>
          </w:p>
        </w:tc>
        <w:tc>
          <w:tcPr>
            <w:tcW w:w="2527" w:type="dxa"/>
            <w:tcBorders>
              <w:bottom w:val="nil"/>
            </w:tcBorders>
          </w:tcPr>
          <w:p>
            <w:pPr>
              <w:pStyle w:val="TableParagraph"/>
              <w:spacing w:line="259" w:lineRule="auto"/>
              <w:ind w:left="108" w:right="305"/>
              <w:rPr>
                <w:sz w:val="22"/>
              </w:rPr>
            </w:pPr>
            <w:r>
              <w:rPr>
                <w:sz w:val="22"/>
              </w:rPr>
              <w:t>Zascha Blanco Abbott / Cynthia Sass</w:t>
            </w:r>
          </w:p>
        </w:tc>
        <w:tc>
          <w:tcPr>
            <w:tcW w:w="2527" w:type="dxa"/>
            <w:tcBorders>
              <w:bottom w:val="nil"/>
            </w:tcBorders>
          </w:tcPr>
          <w:p>
            <w:pPr>
              <w:pStyle w:val="TableParagraph"/>
              <w:ind w:left="117" w:right="101" w:hanging="10"/>
              <w:rPr>
                <w:sz w:val="22"/>
              </w:rPr>
            </w:pPr>
            <w:r>
              <w:rPr>
                <w:sz w:val="22"/>
              </w:rPr>
              <w:t>Plan a joint program/happy hour/CLE with the Section of Labor and Employment Law; and</w:t>
            </w:r>
          </w:p>
        </w:tc>
        <w:tc>
          <w:tcPr>
            <w:tcW w:w="2877" w:type="dxa"/>
            <w:vMerge w:val="restart"/>
          </w:tcPr>
          <w:p>
            <w:pPr>
              <w:pStyle w:val="TableParagraph"/>
              <w:rPr>
                <w:sz w:val="20"/>
              </w:rPr>
            </w:pPr>
          </w:p>
        </w:tc>
      </w:tr>
      <w:tr>
        <w:trPr>
          <w:trHeight w:val="2920" w:hRule="atLeast"/>
        </w:trPr>
        <w:tc>
          <w:tcPr>
            <w:tcW w:w="2527" w:type="dxa"/>
            <w:tcBorders>
              <w:top w:val="nil"/>
            </w:tcBorders>
          </w:tcPr>
          <w:p>
            <w:pPr>
              <w:pStyle w:val="TableParagraph"/>
              <w:rPr>
                <w:sz w:val="20"/>
              </w:rPr>
            </w:pPr>
          </w:p>
        </w:tc>
        <w:tc>
          <w:tcPr>
            <w:tcW w:w="2527" w:type="dxa"/>
            <w:tcBorders>
              <w:top w:val="nil"/>
            </w:tcBorders>
          </w:tcPr>
          <w:p>
            <w:pPr>
              <w:pStyle w:val="TableParagraph"/>
              <w:rPr>
                <w:sz w:val="20"/>
              </w:rPr>
            </w:pPr>
          </w:p>
        </w:tc>
        <w:tc>
          <w:tcPr>
            <w:tcW w:w="2527" w:type="dxa"/>
            <w:tcBorders>
              <w:top w:val="nil"/>
            </w:tcBorders>
          </w:tcPr>
          <w:p>
            <w:pPr>
              <w:pStyle w:val="TableParagraph"/>
              <w:spacing w:before="107"/>
              <w:ind w:left="107" w:right="170"/>
              <w:rPr>
                <w:sz w:val="22"/>
              </w:rPr>
            </w:pPr>
            <w:r>
              <w:rPr>
                <w:sz w:val="22"/>
              </w:rPr>
              <w:t>Work on joint programs with Labor and Employment Section and the labor and employment committees of other ABA sections; Work with having ABA co-sponsor Advanced Labor Topics CLE this year.</w:t>
            </w:r>
          </w:p>
        </w:tc>
        <w:tc>
          <w:tcPr>
            <w:tcW w:w="2877" w:type="dxa"/>
            <w:vMerge/>
            <w:tcBorders>
              <w:top w:val="nil"/>
            </w:tcBorders>
          </w:tcPr>
          <w:p>
            <w:pPr>
              <w:rPr>
                <w:sz w:val="2"/>
                <w:szCs w:val="2"/>
              </w:rPr>
            </w:pPr>
          </w:p>
        </w:tc>
      </w:tr>
      <w:tr>
        <w:trPr>
          <w:trHeight w:val="820" w:hRule="atLeast"/>
        </w:trPr>
        <w:tc>
          <w:tcPr>
            <w:tcW w:w="2527" w:type="dxa"/>
          </w:tcPr>
          <w:p>
            <w:pPr>
              <w:pStyle w:val="TableParagraph"/>
              <w:spacing w:line="245" w:lineRule="exact"/>
              <w:ind w:left="107"/>
              <w:rPr>
                <w:sz w:val="22"/>
              </w:rPr>
            </w:pPr>
            <w:r>
              <w:rPr>
                <w:sz w:val="22"/>
              </w:rPr>
              <w:t>Bar Leadership Liaison</w:t>
            </w:r>
          </w:p>
        </w:tc>
        <w:tc>
          <w:tcPr>
            <w:tcW w:w="2527" w:type="dxa"/>
          </w:tcPr>
          <w:p>
            <w:pPr>
              <w:pStyle w:val="TableParagraph"/>
              <w:spacing w:line="259" w:lineRule="auto"/>
              <w:ind w:left="108" w:right="794"/>
              <w:rPr>
                <w:sz w:val="22"/>
              </w:rPr>
            </w:pPr>
            <w:r>
              <w:rPr>
                <w:sz w:val="22"/>
              </w:rPr>
              <w:t>Leslie Langbein / Marlene Quintana</w:t>
            </w:r>
          </w:p>
        </w:tc>
        <w:tc>
          <w:tcPr>
            <w:tcW w:w="2527" w:type="dxa"/>
          </w:tcPr>
          <w:p>
            <w:pPr>
              <w:pStyle w:val="TableParagraph"/>
              <w:spacing w:line="259" w:lineRule="auto"/>
              <w:ind w:left="108" w:right="103"/>
              <w:rPr>
                <w:sz w:val="22"/>
              </w:rPr>
            </w:pPr>
            <w:r>
              <w:rPr>
                <w:sz w:val="22"/>
              </w:rPr>
              <w:t>Recommendations for committee assignments to</w:t>
            </w:r>
          </w:p>
          <w:p>
            <w:pPr>
              <w:pStyle w:val="TableParagraph"/>
              <w:ind w:left="108"/>
              <w:rPr>
                <w:sz w:val="22"/>
              </w:rPr>
            </w:pPr>
            <w:r>
              <w:rPr>
                <w:sz w:val="22"/>
              </w:rPr>
              <w:t>Fla Bar</w:t>
            </w:r>
          </w:p>
        </w:tc>
        <w:tc>
          <w:tcPr>
            <w:tcW w:w="2877" w:type="dxa"/>
          </w:tcPr>
          <w:p>
            <w:pPr>
              <w:pStyle w:val="TableParagraph"/>
              <w:rPr>
                <w:sz w:val="20"/>
              </w:rPr>
            </w:pPr>
          </w:p>
        </w:tc>
      </w:tr>
      <w:tr>
        <w:trPr>
          <w:trHeight w:val="544" w:hRule="atLeast"/>
        </w:trPr>
        <w:tc>
          <w:tcPr>
            <w:tcW w:w="2527" w:type="dxa"/>
          </w:tcPr>
          <w:p>
            <w:pPr>
              <w:pStyle w:val="TableParagraph"/>
              <w:spacing w:line="245" w:lineRule="exact"/>
              <w:ind w:left="107"/>
              <w:rPr>
                <w:sz w:val="22"/>
              </w:rPr>
            </w:pPr>
            <w:r>
              <w:rPr>
                <w:sz w:val="22"/>
              </w:rPr>
              <w:t>EEOC and FEPA Liaison</w:t>
            </w:r>
          </w:p>
        </w:tc>
        <w:tc>
          <w:tcPr>
            <w:tcW w:w="2527" w:type="dxa"/>
          </w:tcPr>
          <w:p>
            <w:pPr>
              <w:pStyle w:val="TableParagraph"/>
              <w:spacing w:line="245" w:lineRule="exact"/>
              <w:ind w:left="108"/>
              <w:rPr>
                <w:sz w:val="22"/>
              </w:rPr>
            </w:pPr>
            <w:r>
              <w:rPr>
                <w:sz w:val="22"/>
              </w:rPr>
              <w:t>Cheyanne Costilla /</w:t>
            </w:r>
          </w:p>
          <w:p>
            <w:pPr>
              <w:pStyle w:val="TableParagraph"/>
              <w:spacing w:before="20"/>
              <w:ind w:left="108"/>
              <w:rPr>
                <w:sz w:val="22"/>
              </w:rPr>
            </w:pPr>
            <w:r>
              <w:rPr>
                <w:sz w:val="22"/>
              </w:rPr>
              <w:t>Kristen Foslid</w:t>
            </w:r>
          </w:p>
        </w:tc>
        <w:tc>
          <w:tcPr>
            <w:tcW w:w="2527" w:type="dxa"/>
          </w:tcPr>
          <w:p>
            <w:pPr>
              <w:pStyle w:val="TableParagraph"/>
              <w:spacing w:line="245" w:lineRule="exact"/>
              <w:ind w:left="108"/>
              <w:rPr>
                <w:sz w:val="22"/>
              </w:rPr>
            </w:pPr>
            <w:r>
              <w:rPr>
                <w:sz w:val="22"/>
              </w:rPr>
              <w:t>E-filing, position</w:t>
            </w:r>
          </w:p>
          <w:p>
            <w:pPr>
              <w:pStyle w:val="TableParagraph"/>
              <w:spacing w:before="20"/>
              <w:ind w:left="108"/>
              <w:rPr>
                <w:sz w:val="22"/>
              </w:rPr>
            </w:pPr>
            <w:r>
              <w:rPr>
                <w:sz w:val="22"/>
              </w:rPr>
              <w:t>statement, mediation</w:t>
            </w:r>
          </w:p>
        </w:tc>
        <w:tc>
          <w:tcPr>
            <w:tcW w:w="2877" w:type="dxa"/>
          </w:tcPr>
          <w:p>
            <w:pPr>
              <w:pStyle w:val="TableParagraph"/>
              <w:rPr>
                <w:sz w:val="20"/>
              </w:rPr>
            </w:pPr>
          </w:p>
        </w:tc>
      </w:tr>
      <w:tr>
        <w:trPr>
          <w:trHeight w:val="2499" w:hRule="atLeast"/>
        </w:trPr>
        <w:tc>
          <w:tcPr>
            <w:tcW w:w="2527" w:type="dxa"/>
            <w:tcBorders>
              <w:bottom w:val="nil"/>
            </w:tcBorders>
          </w:tcPr>
          <w:p>
            <w:pPr>
              <w:pStyle w:val="TableParagraph"/>
              <w:spacing w:line="245" w:lineRule="exact"/>
              <w:ind w:left="107"/>
              <w:rPr>
                <w:sz w:val="22"/>
              </w:rPr>
            </w:pPr>
            <w:r>
              <w:rPr>
                <w:sz w:val="22"/>
              </w:rPr>
              <w:t>Immigration</w:t>
            </w:r>
          </w:p>
        </w:tc>
        <w:tc>
          <w:tcPr>
            <w:tcW w:w="2527" w:type="dxa"/>
            <w:tcBorders>
              <w:bottom w:val="nil"/>
            </w:tcBorders>
          </w:tcPr>
          <w:p>
            <w:pPr>
              <w:pStyle w:val="TableParagraph"/>
              <w:spacing w:line="245" w:lineRule="exact"/>
              <w:ind w:left="108"/>
              <w:rPr>
                <w:sz w:val="22"/>
              </w:rPr>
            </w:pPr>
            <w:r>
              <w:rPr>
                <w:sz w:val="22"/>
              </w:rPr>
              <w:t>Shin-I Shiao Lowe / Anis</w:t>
            </w:r>
          </w:p>
          <w:p>
            <w:pPr>
              <w:pStyle w:val="TableParagraph"/>
              <w:spacing w:before="20"/>
              <w:ind w:left="108"/>
              <w:rPr>
                <w:sz w:val="22"/>
              </w:rPr>
            </w:pPr>
            <w:r>
              <w:rPr>
                <w:sz w:val="22"/>
              </w:rPr>
              <w:t>N. Saleh</w:t>
            </w:r>
          </w:p>
        </w:tc>
        <w:tc>
          <w:tcPr>
            <w:tcW w:w="2527" w:type="dxa"/>
            <w:tcBorders>
              <w:bottom w:val="nil"/>
            </w:tcBorders>
          </w:tcPr>
          <w:p>
            <w:pPr>
              <w:pStyle w:val="TableParagraph"/>
              <w:spacing w:line="249" w:lineRule="auto"/>
              <w:ind w:left="117" w:right="149" w:hanging="10"/>
              <w:rPr>
                <w:sz w:val="22"/>
              </w:rPr>
            </w:pPr>
            <w:r>
              <w:rPr>
                <w:sz w:val="22"/>
              </w:rPr>
              <w:t>To set up two webinars this upcoming year given the ever changing immigration landscape under the new administration, and address some of the most frequently seen topics of concern by employers.</w:t>
            </w:r>
          </w:p>
        </w:tc>
        <w:tc>
          <w:tcPr>
            <w:tcW w:w="2877" w:type="dxa"/>
            <w:vMerge w:val="restart"/>
          </w:tcPr>
          <w:p>
            <w:pPr>
              <w:pStyle w:val="TableParagraph"/>
              <w:rPr>
                <w:sz w:val="20"/>
              </w:rPr>
            </w:pPr>
          </w:p>
        </w:tc>
      </w:tr>
      <w:tr>
        <w:trPr>
          <w:trHeight w:val="1203" w:hRule="atLeast"/>
        </w:trPr>
        <w:tc>
          <w:tcPr>
            <w:tcW w:w="2527" w:type="dxa"/>
            <w:tcBorders>
              <w:top w:val="nil"/>
            </w:tcBorders>
          </w:tcPr>
          <w:p>
            <w:pPr>
              <w:pStyle w:val="TableParagraph"/>
              <w:rPr>
                <w:sz w:val="20"/>
              </w:rPr>
            </w:pPr>
          </w:p>
        </w:tc>
        <w:tc>
          <w:tcPr>
            <w:tcW w:w="2527" w:type="dxa"/>
            <w:tcBorders>
              <w:top w:val="nil"/>
            </w:tcBorders>
          </w:tcPr>
          <w:p>
            <w:pPr>
              <w:pStyle w:val="TableParagraph"/>
              <w:rPr>
                <w:sz w:val="20"/>
              </w:rPr>
            </w:pPr>
          </w:p>
        </w:tc>
        <w:tc>
          <w:tcPr>
            <w:tcW w:w="2527" w:type="dxa"/>
            <w:tcBorders>
              <w:top w:val="nil"/>
            </w:tcBorders>
          </w:tcPr>
          <w:p>
            <w:pPr>
              <w:pStyle w:val="TableParagraph"/>
              <w:spacing w:line="247" w:lineRule="auto" w:before="127"/>
              <w:ind w:left="117" w:right="280" w:hanging="10"/>
              <w:jc w:val="both"/>
              <w:rPr>
                <w:sz w:val="22"/>
              </w:rPr>
            </w:pPr>
            <w:r>
              <w:rPr>
                <w:sz w:val="22"/>
              </w:rPr>
              <w:t>A short article covering recent news per quarter, if permitting.</w:t>
            </w:r>
          </w:p>
        </w:tc>
        <w:tc>
          <w:tcPr>
            <w:tcW w:w="2877" w:type="dxa"/>
            <w:vMerge/>
            <w:tcBorders>
              <w:top w:val="nil"/>
            </w:tcBorders>
          </w:tcPr>
          <w:p>
            <w:pPr>
              <w:rPr>
                <w:sz w:val="2"/>
                <w:szCs w:val="2"/>
              </w:rPr>
            </w:pPr>
          </w:p>
        </w:tc>
      </w:tr>
      <w:tr>
        <w:trPr>
          <w:trHeight w:val="1219" w:hRule="atLeast"/>
        </w:trPr>
        <w:tc>
          <w:tcPr>
            <w:tcW w:w="2527" w:type="dxa"/>
            <w:tcBorders>
              <w:bottom w:val="nil"/>
            </w:tcBorders>
          </w:tcPr>
          <w:p>
            <w:pPr>
              <w:pStyle w:val="TableParagraph"/>
              <w:spacing w:line="245" w:lineRule="exact"/>
              <w:ind w:left="107"/>
              <w:rPr>
                <w:sz w:val="22"/>
              </w:rPr>
            </w:pPr>
            <w:r>
              <w:rPr>
                <w:sz w:val="22"/>
              </w:rPr>
              <w:t>Judicial Outreach</w:t>
            </w:r>
          </w:p>
        </w:tc>
        <w:tc>
          <w:tcPr>
            <w:tcW w:w="2527" w:type="dxa"/>
            <w:tcBorders>
              <w:bottom w:val="nil"/>
            </w:tcBorders>
          </w:tcPr>
          <w:p>
            <w:pPr>
              <w:pStyle w:val="TableParagraph"/>
              <w:spacing w:line="259" w:lineRule="auto"/>
              <w:ind w:left="108"/>
              <w:rPr>
                <w:sz w:val="22"/>
              </w:rPr>
            </w:pPr>
            <w:r>
              <w:rPr>
                <w:sz w:val="22"/>
              </w:rPr>
              <w:t>Hon. Alan Forst / John Hoffman</w:t>
            </w:r>
          </w:p>
        </w:tc>
        <w:tc>
          <w:tcPr>
            <w:tcW w:w="2527" w:type="dxa"/>
            <w:tcBorders>
              <w:bottom w:val="nil"/>
            </w:tcBorders>
          </w:tcPr>
          <w:p>
            <w:pPr>
              <w:pStyle w:val="TableParagraph"/>
              <w:spacing w:line="259" w:lineRule="auto"/>
              <w:ind w:left="107" w:right="135"/>
              <w:rPr>
                <w:sz w:val="22"/>
              </w:rPr>
            </w:pPr>
            <w:r>
              <w:rPr>
                <w:sz w:val="22"/>
              </w:rPr>
              <w:t>Section officers will present at Advanced Judicial Studies Seminar on May 28-May 31, 2019</w:t>
            </w:r>
          </w:p>
        </w:tc>
        <w:tc>
          <w:tcPr>
            <w:tcW w:w="2877" w:type="dxa"/>
            <w:vMerge w:val="restart"/>
          </w:tcPr>
          <w:p>
            <w:pPr>
              <w:pStyle w:val="TableParagraph"/>
              <w:rPr>
                <w:sz w:val="20"/>
              </w:rPr>
            </w:pPr>
          </w:p>
        </w:tc>
      </w:tr>
      <w:tr>
        <w:trPr>
          <w:trHeight w:val="1774" w:hRule="atLeast"/>
        </w:trPr>
        <w:tc>
          <w:tcPr>
            <w:tcW w:w="2527" w:type="dxa"/>
            <w:tcBorders>
              <w:top w:val="nil"/>
            </w:tcBorders>
          </w:tcPr>
          <w:p>
            <w:pPr>
              <w:pStyle w:val="TableParagraph"/>
              <w:rPr>
                <w:sz w:val="20"/>
              </w:rPr>
            </w:pPr>
          </w:p>
        </w:tc>
        <w:tc>
          <w:tcPr>
            <w:tcW w:w="2527" w:type="dxa"/>
            <w:tcBorders>
              <w:top w:val="nil"/>
            </w:tcBorders>
          </w:tcPr>
          <w:p>
            <w:pPr>
              <w:pStyle w:val="TableParagraph"/>
              <w:rPr>
                <w:sz w:val="20"/>
              </w:rPr>
            </w:pPr>
          </w:p>
        </w:tc>
        <w:tc>
          <w:tcPr>
            <w:tcW w:w="2527" w:type="dxa"/>
            <w:tcBorders>
              <w:top w:val="nil"/>
            </w:tcBorders>
          </w:tcPr>
          <w:p>
            <w:pPr>
              <w:pStyle w:val="TableParagraph"/>
              <w:spacing w:line="259" w:lineRule="auto" w:before="127"/>
              <w:ind w:left="108" w:right="214"/>
              <w:rPr>
                <w:sz w:val="22"/>
              </w:rPr>
            </w:pPr>
            <w:r>
              <w:rPr>
                <w:sz w:val="22"/>
              </w:rPr>
              <w:t>Committee will make an effort at hosting a lunch or breakfast presentation for civil judges in 1-3 of the five largest counties</w:t>
            </w:r>
          </w:p>
          <w:p>
            <w:pPr>
              <w:pStyle w:val="TableParagraph"/>
              <w:spacing w:line="252" w:lineRule="exact"/>
              <w:ind w:left="108"/>
              <w:rPr>
                <w:sz w:val="22"/>
              </w:rPr>
            </w:pPr>
            <w:r>
              <w:rPr>
                <w:sz w:val="22"/>
              </w:rPr>
              <w:t>this bar year.</w:t>
            </w:r>
          </w:p>
        </w:tc>
        <w:tc>
          <w:tcPr>
            <w:tcW w:w="2877" w:type="dxa"/>
            <w:vMerge/>
            <w:tcBorders>
              <w:top w:val="nil"/>
            </w:tcBorders>
          </w:tcPr>
          <w:p>
            <w:pPr>
              <w:rPr>
                <w:sz w:val="2"/>
                <w:szCs w:val="2"/>
              </w:rPr>
            </w:pPr>
          </w:p>
        </w:tc>
      </w:tr>
      <w:tr>
        <w:trPr>
          <w:trHeight w:val="1067" w:hRule="atLeast"/>
        </w:trPr>
        <w:tc>
          <w:tcPr>
            <w:tcW w:w="2527" w:type="dxa"/>
          </w:tcPr>
          <w:p>
            <w:pPr>
              <w:pStyle w:val="TableParagraph"/>
              <w:spacing w:line="245" w:lineRule="exact"/>
              <w:ind w:left="107"/>
              <w:rPr>
                <w:sz w:val="22"/>
              </w:rPr>
            </w:pPr>
            <w:r>
              <w:rPr>
                <w:sz w:val="22"/>
              </w:rPr>
              <w:t>Law School Liaison</w:t>
            </w:r>
          </w:p>
        </w:tc>
        <w:tc>
          <w:tcPr>
            <w:tcW w:w="2527" w:type="dxa"/>
          </w:tcPr>
          <w:p>
            <w:pPr>
              <w:pStyle w:val="TableParagraph"/>
              <w:spacing w:line="259" w:lineRule="auto"/>
              <w:ind w:left="108"/>
              <w:rPr>
                <w:sz w:val="22"/>
              </w:rPr>
            </w:pPr>
            <w:r>
              <w:rPr>
                <w:sz w:val="22"/>
              </w:rPr>
              <w:t>Patrick Martin / Hon. Stephanie Ray / Cristina Velez</w:t>
            </w:r>
          </w:p>
        </w:tc>
        <w:tc>
          <w:tcPr>
            <w:tcW w:w="2527" w:type="dxa"/>
          </w:tcPr>
          <w:p>
            <w:pPr>
              <w:pStyle w:val="TableParagraph"/>
              <w:spacing w:line="247" w:lineRule="auto"/>
              <w:ind w:left="117" w:right="129" w:hanging="10"/>
              <w:rPr>
                <w:sz w:val="22"/>
              </w:rPr>
            </w:pPr>
            <w:r>
              <w:rPr>
                <w:sz w:val="22"/>
              </w:rPr>
              <w:t>To award a scholarship at a student in </w:t>
            </w:r>
            <w:r>
              <w:rPr>
                <w:i/>
                <w:sz w:val="22"/>
              </w:rPr>
              <w:t>each </w:t>
            </w:r>
            <w:r>
              <w:rPr>
                <w:sz w:val="22"/>
              </w:rPr>
              <w:t>law school.</w:t>
            </w:r>
          </w:p>
        </w:tc>
        <w:tc>
          <w:tcPr>
            <w:tcW w:w="2877" w:type="dxa"/>
          </w:tcPr>
          <w:p>
            <w:pPr>
              <w:pStyle w:val="TableParagraph"/>
              <w:rPr>
                <w:sz w:val="20"/>
              </w:rPr>
            </w:pPr>
          </w:p>
        </w:tc>
      </w:tr>
    </w:tbl>
    <w:p>
      <w:pPr>
        <w:spacing w:after="0"/>
        <w:rPr>
          <w:sz w:val="20"/>
        </w:rPr>
        <w:sectPr>
          <w:footerReference w:type="default" r:id="rId14"/>
          <w:pgSz w:w="12240" w:h="15840"/>
          <w:pgMar w:footer="155" w:header="0" w:top="1420" w:bottom="340" w:left="0" w:right="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7"/>
        <w:gridCol w:w="2527"/>
        <w:gridCol w:w="2527"/>
        <w:gridCol w:w="2877"/>
      </w:tblGrid>
      <w:tr>
        <w:trPr>
          <w:trHeight w:val="1331" w:hRule="atLeast"/>
        </w:trPr>
        <w:tc>
          <w:tcPr>
            <w:tcW w:w="2527" w:type="dxa"/>
          </w:tcPr>
          <w:p>
            <w:pPr>
              <w:pStyle w:val="TableParagraph"/>
              <w:rPr>
                <w:sz w:val="20"/>
              </w:rPr>
            </w:pPr>
          </w:p>
        </w:tc>
        <w:tc>
          <w:tcPr>
            <w:tcW w:w="2527" w:type="dxa"/>
          </w:tcPr>
          <w:p>
            <w:pPr>
              <w:pStyle w:val="TableParagraph"/>
              <w:rPr>
                <w:sz w:val="20"/>
              </w:rPr>
            </w:pPr>
          </w:p>
        </w:tc>
        <w:tc>
          <w:tcPr>
            <w:tcW w:w="2527" w:type="dxa"/>
          </w:tcPr>
          <w:p>
            <w:pPr>
              <w:pStyle w:val="TableParagraph"/>
              <w:spacing w:line="249" w:lineRule="auto"/>
              <w:ind w:left="117" w:right="150" w:hanging="10"/>
              <w:rPr>
                <w:sz w:val="22"/>
              </w:rPr>
            </w:pPr>
            <w:r>
              <w:rPr>
                <w:sz w:val="22"/>
              </w:rPr>
              <w:t>To either have or participate in an outreach event at each Florida law school.</w:t>
            </w:r>
          </w:p>
        </w:tc>
        <w:tc>
          <w:tcPr>
            <w:tcW w:w="2877" w:type="dxa"/>
          </w:tcPr>
          <w:p>
            <w:pPr>
              <w:pStyle w:val="TableParagraph"/>
              <w:rPr>
                <w:sz w:val="20"/>
              </w:rPr>
            </w:pPr>
          </w:p>
        </w:tc>
      </w:tr>
      <w:tr>
        <w:trPr>
          <w:trHeight w:val="9381" w:hRule="atLeast"/>
        </w:trPr>
        <w:tc>
          <w:tcPr>
            <w:tcW w:w="2527" w:type="dxa"/>
          </w:tcPr>
          <w:p>
            <w:pPr>
              <w:pStyle w:val="TableParagraph"/>
              <w:spacing w:line="259" w:lineRule="auto"/>
              <w:ind w:left="107" w:right="563"/>
              <w:rPr>
                <w:sz w:val="22"/>
              </w:rPr>
            </w:pPr>
            <w:r>
              <w:rPr>
                <w:sz w:val="22"/>
              </w:rPr>
              <w:t>Local/Voluntary Bar Association</w:t>
            </w:r>
          </w:p>
        </w:tc>
        <w:tc>
          <w:tcPr>
            <w:tcW w:w="2527" w:type="dxa"/>
          </w:tcPr>
          <w:p>
            <w:pPr>
              <w:pStyle w:val="TableParagraph"/>
              <w:spacing w:line="259" w:lineRule="auto"/>
              <w:ind w:left="108" w:right="599"/>
              <w:rPr>
                <w:sz w:val="22"/>
              </w:rPr>
            </w:pPr>
            <w:r>
              <w:rPr>
                <w:sz w:val="22"/>
              </w:rPr>
              <w:t>Ryan Barack / Erika Deutsch Rotbart</w:t>
            </w:r>
          </w:p>
        </w:tc>
        <w:tc>
          <w:tcPr>
            <w:tcW w:w="2527" w:type="dxa"/>
          </w:tcPr>
          <w:p>
            <w:pPr>
              <w:pStyle w:val="TableParagraph"/>
              <w:ind w:left="108" w:right="102"/>
              <w:rPr>
                <w:sz w:val="22"/>
              </w:rPr>
            </w:pPr>
            <w:r>
              <w:rPr>
                <w:sz w:val="22"/>
              </w:rPr>
              <w:t>We will be scheduling a call likely for late September with our Committee members to discuss our initiatives. We plan on brainstorming some possible “meet and greets” with local lawyers throughout the various local bars as well as young lawyer division groups to provide information, mentoring and similar events to promote and encourage their participation in employment and labor law as well as to raise awareness and foster membership and further outreach.</w:t>
            </w:r>
          </w:p>
          <w:p>
            <w:pPr>
              <w:pStyle w:val="TableParagraph"/>
              <w:spacing w:before="5"/>
              <w:rPr>
                <w:sz w:val="21"/>
              </w:rPr>
            </w:pPr>
          </w:p>
          <w:p>
            <w:pPr>
              <w:pStyle w:val="TableParagraph"/>
              <w:spacing w:before="1"/>
              <w:ind w:left="108" w:right="96"/>
              <w:rPr>
                <w:sz w:val="22"/>
              </w:rPr>
            </w:pPr>
            <w:r>
              <w:rPr>
                <w:sz w:val="22"/>
              </w:rPr>
              <w:t>We also intend on creating an email campaign to the local bar associations as we did last year to create opportunities by offering our speakers’ bureau for seminars as well as provide training and mentoring to those local bar organizations who are interested in our participation and assistance.</w:t>
            </w:r>
          </w:p>
        </w:tc>
        <w:tc>
          <w:tcPr>
            <w:tcW w:w="2877" w:type="dxa"/>
          </w:tcPr>
          <w:p>
            <w:pPr>
              <w:pStyle w:val="TableParagraph"/>
              <w:rPr>
                <w:sz w:val="20"/>
              </w:rPr>
            </w:pPr>
          </w:p>
        </w:tc>
      </w:tr>
      <w:tr>
        <w:trPr>
          <w:trHeight w:val="3542" w:hRule="atLeast"/>
        </w:trPr>
        <w:tc>
          <w:tcPr>
            <w:tcW w:w="2527" w:type="dxa"/>
          </w:tcPr>
          <w:p>
            <w:pPr>
              <w:pStyle w:val="TableParagraph"/>
              <w:spacing w:line="250" w:lineRule="exact"/>
              <w:ind w:left="107"/>
              <w:rPr>
                <w:sz w:val="22"/>
              </w:rPr>
            </w:pPr>
            <w:r>
              <w:rPr>
                <w:sz w:val="22"/>
              </w:rPr>
              <w:t>Long Range Planning</w:t>
            </w:r>
          </w:p>
        </w:tc>
        <w:tc>
          <w:tcPr>
            <w:tcW w:w="2527" w:type="dxa"/>
          </w:tcPr>
          <w:p>
            <w:pPr>
              <w:pStyle w:val="TableParagraph"/>
              <w:spacing w:line="259" w:lineRule="auto"/>
              <w:ind w:left="108" w:right="397"/>
              <w:rPr>
                <w:sz w:val="22"/>
              </w:rPr>
            </w:pPr>
            <w:r>
              <w:rPr>
                <w:sz w:val="22"/>
              </w:rPr>
              <w:t>Hon. Robert Kilbride / Robert S. Turk</w:t>
            </w:r>
          </w:p>
        </w:tc>
        <w:tc>
          <w:tcPr>
            <w:tcW w:w="2527" w:type="dxa"/>
          </w:tcPr>
          <w:p>
            <w:pPr>
              <w:pStyle w:val="TableParagraph"/>
              <w:ind w:left="117" w:right="139" w:hanging="10"/>
              <w:rPr>
                <w:sz w:val="22"/>
              </w:rPr>
            </w:pPr>
            <w:r>
              <w:rPr>
                <w:sz w:val="22"/>
              </w:rPr>
              <w:t>The LRPC intends to monitor the progress of the action items decided upon at the St. Pete LRP Retreat. We are particularly interested in the progress of website redesign and management, trial academy progress and Rob Eschenfelder’s archiving of decisions and policies by the EC. (I</w:t>
            </w:r>
          </w:p>
          <w:p>
            <w:pPr>
              <w:pStyle w:val="TableParagraph"/>
              <w:spacing w:line="239" w:lineRule="exact"/>
              <w:ind w:left="117"/>
              <w:rPr>
                <w:sz w:val="22"/>
              </w:rPr>
            </w:pPr>
            <w:r>
              <w:rPr>
                <w:sz w:val="22"/>
              </w:rPr>
              <w:t>will forward the</w:t>
            </w:r>
          </w:p>
        </w:tc>
        <w:tc>
          <w:tcPr>
            <w:tcW w:w="2877" w:type="dxa"/>
          </w:tcPr>
          <w:p>
            <w:pPr>
              <w:pStyle w:val="TableParagraph"/>
              <w:rPr>
                <w:sz w:val="20"/>
              </w:rPr>
            </w:pPr>
          </w:p>
        </w:tc>
      </w:tr>
    </w:tbl>
    <w:p>
      <w:pPr>
        <w:spacing w:after="0"/>
        <w:rPr>
          <w:sz w:val="20"/>
        </w:rPr>
        <w:sectPr>
          <w:footerReference w:type="default" r:id="rId15"/>
          <w:pgSz w:w="12240" w:h="15840"/>
          <w:pgMar w:footer="155" w:header="0" w:top="580" w:bottom="340" w:left="0" w:right="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7"/>
        <w:gridCol w:w="2527"/>
        <w:gridCol w:w="2527"/>
        <w:gridCol w:w="2877"/>
      </w:tblGrid>
      <w:tr>
        <w:trPr>
          <w:trHeight w:val="3642" w:hRule="atLeast"/>
        </w:trPr>
        <w:tc>
          <w:tcPr>
            <w:tcW w:w="2527" w:type="dxa"/>
          </w:tcPr>
          <w:p>
            <w:pPr>
              <w:pStyle w:val="TableParagraph"/>
              <w:rPr>
                <w:sz w:val="20"/>
              </w:rPr>
            </w:pPr>
          </w:p>
        </w:tc>
        <w:tc>
          <w:tcPr>
            <w:tcW w:w="2527" w:type="dxa"/>
          </w:tcPr>
          <w:p>
            <w:pPr>
              <w:pStyle w:val="TableParagraph"/>
              <w:rPr>
                <w:sz w:val="20"/>
              </w:rPr>
            </w:pPr>
          </w:p>
        </w:tc>
        <w:tc>
          <w:tcPr>
            <w:tcW w:w="2527" w:type="dxa"/>
          </w:tcPr>
          <w:p>
            <w:pPr>
              <w:pStyle w:val="TableParagraph"/>
              <w:spacing w:line="242" w:lineRule="auto"/>
              <w:ind w:left="117" w:right="596"/>
              <w:rPr>
                <w:sz w:val="22"/>
              </w:rPr>
            </w:pPr>
            <w:r>
              <w:rPr>
                <w:sz w:val="22"/>
              </w:rPr>
              <w:t>Summary of Retreat items to you).</w:t>
            </w:r>
          </w:p>
          <w:p>
            <w:pPr>
              <w:pStyle w:val="TableParagraph"/>
              <w:ind w:left="117" w:right="394" w:hanging="10"/>
              <w:rPr>
                <w:sz w:val="22"/>
              </w:rPr>
            </w:pPr>
            <w:r>
              <w:rPr>
                <w:sz w:val="22"/>
              </w:rPr>
              <w:t>The LRPC will offer support to you on any long term projects you decide to promote or focus on during your tenure as Chair of the Section.</w:t>
            </w:r>
          </w:p>
          <w:p>
            <w:pPr>
              <w:pStyle w:val="TableParagraph"/>
              <w:spacing w:line="259" w:lineRule="auto"/>
              <w:ind w:left="108" w:right="312"/>
              <w:rPr>
                <w:sz w:val="22"/>
              </w:rPr>
            </w:pPr>
            <w:r>
              <w:rPr>
                <w:sz w:val="22"/>
              </w:rPr>
              <w:t>The LRPC will share ideas and goals we recommend, after we have our organizational</w:t>
            </w:r>
          </w:p>
          <w:p>
            <w:pPr>
              <w:pStyle w:val="TableParagraph"/>
              <w:spacing w:line="252" w:lineRule="exact"/>
              <w:ind w:left="108"/>
              <w:rPr>
                <w:sz w:val="22"/>
              </w:rPr>
            </w:pPr>
            <w:r>
              <w:rPr>
                <w:sz w:val="22"/>
              </w:rPr>
              <w:t>meeting in September</w:t>
            </w:r>
          </w:p>
        </w:tc>
        <w:tc>
          <w:tcPr>
            <w:tcW w:w="2877" w:type="dxa"/>
          </w:tcPr>
          <w:p>
            <w:pPr>
              <w:pStyle w:val="TableParagraph"/>
              <w:rPr>
                <w:sz w:val="20"/>
              </w:rPr>
            </w:pPr>
          </w:p>
        </w:tc>
      </w:tr>
      <w:tr>
        <w:trPr>
          <w:trHeight w:val="2310" w:hRule="atLeast"/>
        </w:trPr>
        <w:tc>
          <w:tcPr>
            <w:tcW w:w="2527" w:type="dxa"/>
            <w:tcBorders>
              <w:bottom w:val="nil"/>
            </w:tcBorders>
          </w:tcPr>
          <w:p>
            <w:pPr>
              <w:pStyle w:val="TableParagraph"/>
              <w:spacing w:line="250" w:lineRule="exact"/>
              <w:ind w:left="107"/>
              <w:rPr>
                <w:sz w:val="22"/>
              </w:rPr>
            </w:pPr>
            <w:r>
              <w:rPr>
                <w:sz w:val="22"/>
              </w:rPr>
              <w:t>Membership Outreach</w:t>
            </w:r>
          </w:p>
        </w:tc>
        <w:tc>
          <w:tcPr>
            <w:tcW w:w="2527" w:type="dxa"/>
            <w:tcBorders>
              <w:bottom w:val="nil"/>
            </w:tcBorders>
          </w:tcPr>
          <w:p>
            <w:pPr>
              <w:pStyle w:val="TableParagraph"/>
              <w:spacing w:line="259" w:lineRule="auto"/>
              <w:ind w:left="108" w:right="476"/>
              <w:rPr>
                <w:sz w:val="22"/>
              </w:rPr>
            </w:pPr>
            <w:r>
              <w:rPr>
                <w:sz w:val="22"/>
              </w:rPr>
              <w:t>Scott Atwood / Sacha Dyson</w:t>
            </w:r>
          </w:p>
        </w:tc>
        <w:tc>
          <w:tcPr>
            <w:tcW w:w="2527" w:type="dxa"/>
            <w:tcBorders>
              <w:bottom w:val="nil"/>
            </w:tcBorders>
          </w:tcPr>
          <w:p>
            <w:pPr>
              <w:pStyle w:val="TableParagraph"/>
              <w:spacing w:line="259" w:lineRule="auto"/>
              <w:ind w:left="108" w:right="99"/>
              <w:rPr>
                <w:sz w:val="22"/>
              </w:rPr>
            </w:pPr>
            <w:r>
              <w:rPr>
                <w:sz w:val="22"/>
              </w:rPr>
              <w:t>Assign a committee member to reach out to the new section members to welcome them to the section and let them</w:t>
            </w:r>
            <w:r>
              <w:rPr>
                <w:spacing w:val="-10"/>
                <w:sz w:val="22"/>
              </w:rPr>
              <w:t> </w:t>
            </w:r>
            <w:r>
              <w:rPr>
                <w:sz w:val="22"/>
              </w:rPr>
              <w:t>know about some of the upcoming section activities.</w:t>
            </w:r>
          </w:p>
        </w:tc>
        <w:tc>
          <w:tcPr>
            <w:tcW w:w="2877" w:type="dxa"/>
            <w:vMerge w:val="restart"/>
          </w:tcPr>
          <w:p>
            <w:pPr>
              <w:pStyle w:val="TableParagraph"/>
              <w:rPr>
                <w:sz w:val="20"/>
              </w:rPr>
            </w:pPr>
          </w:p>
        </w:tc>
      </w:tr>
      <w:tr>
        <w:trPr>
          <w:trHeight w:val="1082" w:hRule="atLeast"/>
        </w:trPr>
        <w:tc>
          <w:tcPr>
            <w:tcW w:w="2527" w:type="dxa"/>
            <w:tcBorders>
              <w:top w:val="nil"/>
              <w:bottom w:val="nil"/>
            </w:tcBorders>
          </w:tcPr>
          <w:p>
            <w:pPr>
              <w:pStyle w:val="TableParagraph"/>
              <w:rPr>
                <w:sz w:val="20"/>
              </w:rPr>
            </w:pPr>
          </w:p>
        </w:tc>
        <w:tc>
          <w:tcPr>
            <w:tcW w:w="2527" w:type="dxa"/>
            <w:tcBorders>
              <w:top w:val="nil"/>
              <w:bottom w:val="nil"/>
            </w:tcBorders>
          </w:tcPr>
          <w:p>
            <w:pPr>
              <w:pStyle w:val="TableParagraph"/>
              <w:rPr>
                <w:sz w:val="20"/>
              </w:rPr>
            </w:pPr>
          </w:p>
        </w:tc>
        <w:tc>
          <w:tcPr>
            <w:tcW w:w="2527" w:type="dxa"/>
            <w:tcBorders>
              <w:top w:val="nil"/>
              <w:bottom w:val="nil"/>
            </w:tcBorders>
          </w:tcPr>
          <w:p>
            <w:pPr>
              <w:pStyle w:val="TableParagraph"/>
              <w:spacing w:line="259" w:lineRule="auto" w:before="134"/>
              <w:ind w:left="108" w:right="165"/>
              <w:rPr>
                <w:sz w:val="22"/>
              </w:rPr>
            </w:pPr>
            <w:r>
              <w:rPr>
                <w:sz w:val="22"/>
              </w:rPr>
              <w:t>Create a happy hour with an interactive CLE presentation.</w:t>
            </w:r>
          </w:p>
        </w:tc>
        <w:tc>
          <w:tcPr>
            <w:tcW w:w="2877" w:type="dxa"/>
            <w:vMerge/>
            <w:tcBorders>
              <w:top w:val="nil"/>
            </w:tcBorders>
          </w:tcPr>
          <w:p>
            <w:pPr>
              <w:rPr>
                <w:sz w:val="2"/>
                <w:szCs w:val="2"/>
              </w:rPr>
            </w:pPr>
          </w:p>
        </w:tc>
      </w:tr>
      <w:tr>
        <w:trPr>
          <w:trHeight w:val="681" w:hRule="atLeast"/>
        </w:trPr>
        <w:tc>
          <w:tcPr>
            <w:tcW w:w="2527" w:type="dxa"/>
            <w:tcBorders>
              <w:top w:val="nil"/>
            </w:tcBorders>
          </w:tcPr>
          <w:p>
            <w:pPr>
              <w:pStyle w:val="TableParagraph"/>
              <w:rPr>
                <w:sz w:val="20"/>
              </w:rPr>
            </w:pPr>
          </w:p>
        </w:tc>
        <w:tc>
          <w:tcPr>
            <w:tcW w:w="2527" w:type="dxa"/>
            <w:tcBorders>
              <w:top w:val="nil"/>
            </w:tcBorders>
          </w:tcPr>
          <w:p>
            <w:pPr>
              <w:pStyle w:val="TableParagraph"/>
              <w:rPr>
                <w:sz w:val="20"/>
              </w:rPr>
            </w:pPr>
          </w:p>
        </w:tc>
        <w:tc>
          <w:tcPr>
            <w:tcW w:w="2527" w:type="dxa"/>
            <w:tcBorders>
              <w:top w:val="nil"/>
            </w:tcBorders>
          </w:tcPr>
          <w:p>
            <w:pPr>
              <w:pStyle w:val="TableParagraph"/>
              <w:spacing w:line="270" w:lineRule="atLeast" w:before="116"/>
              <w:ind w:left="108" w:right="165"/>
              <w:rPr>
                <w:sz w:val="22"/>
              </w:rPr>
            </w:pPr>
            <w:r>
              <w:rPr>
                <w:sz w:val="22"/>
              </w:rPr>
              <w:t>Create a Pub Trivia casual for a section event</w:t>
            </w:r>
          </w:p>
        </w:tc>
        <w:tc>
          <w:tcPr>
            <w:tcW w:w="2877" w:type="dxa"/>
            <w:vMerge/>
            <w:tcBorders>
              <w:top w:val="nil"/>
            </w:tcBorders>
          </w:tcPr>
          <w:p>
            <w:pPr>
              <w:rPr>
                <w:sz w:val="2"/>
                <w:szCs w:val="2"/>
              </w:rPr>
            </w:pPr>
          </w:p>
        </w:tc>
      </w:tr>
      <w:tr>
        <w:trPr>
          <w:trHeight w:val="883" w:hRule="atLeast"/>
        </w:trPr>
        <w:tc>
          <w:tcPr>
            <w:tcW w:w="2527" w:type="dxa"/>
            <w:tcBorders>
              <w:bottom w:val="nil"/>
            </w:tcBorders>
          </w:tcPr>
          <w:p>
            <w:pPr>
              <w:pStyle w:val="TableParagraph"/>
              <w:spacing w:line="250" w:lineRule="exact"/>
              <w:ind w:left="107"/>
              <w:rPr>
                <w:sz w:val="22"/>
              </w:rPr>
            </w:pPr>
            <w:r>
              <w:rPr>
                <w:sz w:val="22"/>
              </w:rPr>
              <w:t>NLRB and PERC Liaison</w:t>
            </w:r>
          </w:p>
        </w:tc>
        <w:tc>
          <w:tcPr>
            <w:tcW w:w="2527" w:type="dxa"/>
            <w:tcBorders>
              <w:bottom w:val="nil"/>
            </w:tcBorders>
          </w:tcPr>
          <w:p>
            <w:pPr>
              <w:pStyle w:val="TableParagraph"/>
              <w:spacing w:line="259" w:lineRule="auto"/>
              <w:ind w:left="108" w:right="428"/>
              <w:rPr>
                <w:sz w:val="22"/>
              </w:rPr>
            </w:pPr>
            <w:r>
              <w:rPr>
                <w:sz w:val="22"/>
              </w:rPr>
              <w:t>Janeia Ingram / Gregg Morton</w:t>
            </w:r>
          </w:p>
        </w:tc>
        <w:tc>
          <w:tcPr>
            <w:tcW w:w="2527" w:type="dxa"/>
            <w:tcBorders>
              <w:bottom w:val="nil"/>
            </w:tcBorders>
          </w:tcPr>
          <w:p>
            <w:pPr>
              <w:pStyle w:val="TableParagraph"/>
              <w:ind w:left="108" w:right="305"/>
              <w:rPr>
                <w:sz w:val="22"/>
              </w:rPr>
            </w:pPr>
            <w:r>
              <w:rPr>
                <w:sz w:val="22"/>
              </w:rPr>
              <w:t>Convene two subcommittee meetings (via conference call).</w:t>
            </w:r>
          </w:p>
        </w:tc>
        <w:tc>
          <w:tcPr>
            <w:tcW w:w="2877" w:type="dxa"/>
            <w:vMerge w:val="restart"/>
          </w:tcPr>
          <w:p>
            <w:pPr>
              <w:pStyle w:val="TableParagraph"/>
              <w:rPr>
                <w:sz w:val="20"/>
              </w:rPr>
            </w:pPr>
          </w:p>
        </w:tc>
      </w:tr>
      <w:tr>
        <w:trPr>
          <w:trHeight w:val="1254" w:hRule="atLeast"/>
        </w:trPr>
        <w:tc>
          <w:tcPr>
            <w:tcW w:w="2527" w:type="dxa"/>
            <w:tcBorders>
              <w:top w:val="nil"/>
              <w:bottom w:val="nil"/>
            </w:tcBorders>
          </w:tcPr>
          <w:p>
            <w:pPr>
              <w:pStyle w:val="TableParagraph"/>
              <w:rPr>
                <w:sz w:val="20"/>
              </w:rPr>
            </w:pPr>
          </w:p>
        </w:tc>
        <w:tc>
          <w:tcPr>
            <w:tcW w:w="2527" w:type="dxa"/>
            <w:tcBorders>
              <w:top w:val="nil"/>
              <w:bottom w:val="nil"/>
            </w:tcBorders>
          </w:tcPr>
          <w:p>
            <w:pPr>
              <w:pStyle w:val="TableParagraph"/>
              <w:rPr>
                <w:sz w:val="20"/>
              </w:rPr>
            </w:pPr>
          </w:p>
        </w:tc>
        <w:tc>
          <w:tcPr>
            <w:tcW w:w="2527" w:type="dxa"/>
            <w:tcBorders>
              <w:top w:val="nil"/>
              <w:bottom w:val="nil"/>
            </w:tcBorders>
          </w:tcPr>
          <w:p>
            <w:pPr>
              <w:pStyle w:val="TableParagraph"/>
              <w:spacing w:before="113"/>
              <w:ind w:left="108" w:right="152"/>
              <w:rPr>
                <w:sz w:val="22"/>
              </w:rPr>
            </w:pPr>
            <w:r>
              <w:rPr>
                <w:sz w:val="22"/>
              </w:rPr>
              <w:t>Conduct a stand-alone webinar as part of the Section’s Audio Webcast Series</w:t>
            </w:r>
          </w:p>
        </w:tc>
        <w:tc>
          <w:tcPr>
            <w:tcW w:w="2877" w:type="dxa"/>
            <w:vMerge/>
            <w:tcBorders>
              <w:top w:val="nil"/>
            </w:tcBorders>
          </w:tcPr>
          <w:p>
            <w:pPr>
              <w:rPr>
                <w:sz w:val="2"/>
                <w:szCs w:val="2"/>
              </w:rPr>
            </w:pPr>
          </w:p>
        </w:tc>
      </w:tr>
      <w:tr>
        <w:trPr>
          <w:trHeight w:val="1507" w:hRule="atLeast"/>
        </w:trPr>
        <w:tc>
          <w:tcPr>
            <w:tcW w:w="2527" w:type="dxa"/>
            <w:tcBorders>
              <w:top w:val="nil"/>
              <w:bottom w:val="nil"/>
            </w:tcBorders>
          </w:tcPr>
          <w:p>
            <w:pPr>
              <w:pStyle w:val="TableParagraph"/>
              <w:rPr>
                <w:sz w:val="20"/>
              </w:rPr>
            </w:pPr>
          </w:p>
        </w:tc>
        <w:tc>
          <w:tcPr>
            <w:tcW w:w="2527" w:type="dxa"/>
            <w:tcBorders>
              <w:top w:val="nil"/>
              <w:bottom w:val="nil"/>
            </w:tcBorders>
          </w:tcPr>
          <w:p>
            <w:pPr>
              <w:pStyle w:val="TableParagraph"/>
              <w:rPr>
                <w:sz w:val="20"/>
              </w:rPr>
            </w:pPr>
          </w:p>
        </w:tc>
        <w:tc>
          <w:tcPr>
            <w:tcW w:w="2527" w:type="dxa"/>
            <w:tcBorders>
              <w:top w:val="nil"/>
              <w:bottom w:val="nil"/>
            </w:tcBorders>
          </w:tcPr>
          <w:p>
            <w:pPr>
              <w:pStyle w:val="TableParagraph"/>
              <w:spacing w:before="113"/>
              <w:ind w:left="108" w:right="98"/>
              <w:rPr>
                <w:sz w:val="22"/>
              </w:rPr>
            </w:pPr>
            <w:r>
              <w:rPr>
                <w:sz w:val="22"/>
              </w:rPr>
              <w:t>Contribute 1-2 articles for consideration by the Section for future </w:t>
            </w:r>
            <w:r>
              <w:rPr>
                <w:i/>
                <w:sz w:val="22"/>
              </w:rPr>
              <w:t>Bar </w:t>
            </w:r>
            <w:r>
              <w:rPr>
                <w:i/>
                <w:sz w:val="22"/>
              </w:rPr>
              <w:t>Journal </w:t>
            </w:r>
            <w:r>
              <w:rPr>
                <w:sz w:val="22"/>
              </w:rPr>
              <w:t>and </w:t>
            </w:r>
            <w:r>
              <w:rPr>
                <w:i/>
                <w:sz w:val="22"/>
              </w:rPr>
              <w:t>Checkoff </w:t>
            </w:r>
            <w:r>
              <w:rPr>
                <w:sz w:val="22"/>
              </w:rPr>
              <w:t>publications.</w:t>
            </w:r>
          </w:p>
        </w:tc>
        <w:tc>
          <w:tcPr>
            <w:tcW w:w="2877" w:type="dxa"/>
            <w:vMerge/>
            <w:tcBorders>
              <w:top w:val="nil"/>
            </w:tcBorders>
          </w:tcPr>
          <w:p>
            <w:pPr>
              <w:rPr>
                <w:sz w:val="2"/>
                <w:szCs w:val="2"/>
              </w:rPr>
            </w:pPr>
          </w:p>
        </w:tc>
      </w:tr>
      <w:tr>
        <w:trPr>
          <w:trHeight w:val="2162" w:hRule="atLeast"/>
        </w:trPr>
        <w:tc>
          <w:tcPr>
            <w:tcW w:w="2527" w:type="dxa"/>
            <w:tcBorders>
              <w:top w:val="nil"/>
            </w:tcBorders>
          </w:tcPr>
          <w:p>
            <w:pPr>
              <w:pStyle w:val="TableParagraph"/>
              <w:rPr>
                <w:sz w:val="20"/>
              </w:rPr>
            </w:pPr>
          </w:p>
        </w:tc>
        <w:tc>
          <w:tcPr>
            <w:tcW w:w="2527" w:type="dxa"/>
            <w:tcBorders>
              <w:top w:val="nil"/>
            </w:tcBorders>
          </w:tcPr>
          <w:p>
            <w:pPr>
              <w:pStyle w:val="TableParagraph"/>
              <w:rPr>
                <w:sz w:val="20"/>
              </w:rPr>
            </w:pPr>
          </w:p>
        </w:tc>
        <w:tc>
          <w:tcPr>
            <w:tcW w:w="2527" w:type="dxa"/>
            <w:tcBorders>
              <w:top w:val="nil"/>
            </w:tcBorders>
          </w:tcPr>
          <w:p>
            <w:pPr>
              <w:pStyle w:val="TableParagraph"/>
              <w:spacing w:before="112"/>
              <w:ind w:left="108" w:right="128"/>
              <w:rPr>
                <w:sz w:val="22"/>
              </w:rPr>
            </w:pPr>
            <w:r>
              <w:rPr>
                <w:sz w:val="22"/>
              </w:rPr>
              <w:t>Begin initial planning for 44th Annual Public Employee Labor Relations Forum (PELRF), to take place October 2019 in Orlando, Florida.</w:t>
            </w:r>
          </w:p>
        </w:tc>
        <w:tc>
          <w:tcPr>
            <w:tcW w:w="2877" w:type="dxa"/>
            <w:vMerge/>
            <w:tcBorders>
              <w:top w:val="nil"/>
            </w:tcBorders>
          </w:tcPr>
          <w:p>
            <w:pPr>
              <w:rPr>
                <w:sz w:val="2"/>
                <w:szCs w:val="2"/>
              </w:rPr>
            </w:pPr>
          </w:p>
        </w:tc>
      </w:tr>
      <w:tr>
        <w:trPr>
          <w:trHeight w:val="1012" w:hRule="atLeast"/>
        </w:trPr>
        <w:tc>
          <w:tcPr>
            <w:tcW w:w="2527" w:type="dxa"/>
          </w:tcPr>
          <w:p>
            <w:pPr>
              <w:pStyle w:val="TableParagraph"/>
              <w:spacing w:line="259" w:lineRule="auto"/>
              <w:ind w:left="107" w:right="978"/>
              <w:rPr>
                <w:sz w:val="22"/>
              </w:rPr>
            </w:pPr>
            <w:r>
              <w:rPr>
                <w:sz w:val="22"/>
              </w:rPr>
              <w:t>Special Projects Committee</w:t>
            </w:r>
          </w:p>
        </w:tc>
        <w:tc>
          <w:tcPr>
            <w:tcW w:w="2527" w:type="dxa"/>
          </w:tcPr>
          <w:p>
            <w:pPr>
              <w:pStyle w:val="TableParagraph"/>
              <w:spacing w:before="11"/>
              <w:rPr>
                <w:sz w:val="21"/>
              </w:rPr>
            </w:pPr>
          </w:p>
          <w:p>
            <w:pPr>
              <w:pStyle w:val="TableParagraph"/>
              <w:spacing w:line="252" w:lineRule="exact"/>
              <w:ind w:left="108" w:right="134"/>
              <w:rPr>
                <w:sz w:val="22"/>
              </w:rPr>
            </w:pPr>
            <w:r>
              <w:rPr>
                <w:sz w:val="22"/>
              </w:rPr>
              <w:t>Hon. Frank Brown / Gina Cadogan / Sherril Colombo</w:t>
            </w:r>
          </w:p>
        </w:tc>
        <w:tc>
          <w:tcPr>
            <w:tcW w:w="2527" w:type="dxa"/>
          </w:tcPr>
          <w:p>
            <w:pPr>
              <w:pStyle w:val="TableParagraph"/>
              <w:ind w:left="117" w:right="95" w:hanging="10"/>
              <w:rPr>
                <w:sz w:val="22"/>
              </w:rPr>
            </w:pPr>
            <w:r>
              <w:rPr>
                <w:sz w:val="22"/>
              </w:rPr>
              <w:t>Drafting proposed executive council policies for sponsorship or other</w:t>
            </w:r>
          </w:p>
          <w:p>
            <w:pPr>
              <w:pStyle w:val="TableParagraph"/>
              <w:spacing w:line="239" w:lineRule="exact"/>
              <w:ind w:left="117"/>
              <w:rPr>
                <w:sz w:val="22"/>
              </w:rPr>
            </w:pPr>
            <w:r>
              <w:rPr>
                <w:sz w:val="22"/>
              </w:rPr>
              <w:t>support of other bar or</w:t>
            </w:r>
          </w:p>
        </w:tc>
        <w:tc>
          <w:tcPr>
            <w:tcW w:w="2877" w:type="dxa"/>
          </w:tcPr>
          <w:p>
            <w:pPr>
              <w:pStyle w:val="TableParagraph"/>
              <w:rPr>
                <w:sz w:val="20"/>
              </w:rPr>
            </w:pPr>
          </w:p>
        </w:tc>
      </w:tr>
    </w:tbl>
    <w:p>
      <w:pPr>
        <w:spacing w:after="0"/>
        <w:rPr>
          <w:sz w:val="20"/>
        </w:rPr>
        <w:sectPr>
          <w:footerReference w:type="default" r:id="rId16"/>
          <w:pgSz w:w="12240" w:h="15840"/>
          <w:pgMar w:footer="155" w:header="0" w:top="580" w:bottom="340" w:left="0" w:right="0"/>
        </w:sectPr>
      </w:pPr>
    </w:p>
    <w:tbl>
      <w:tblPr>
        <w:tblW w:w="0" w:type="auto"/>
        <w:jc w:val="left"/>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7"/>
        <w:gridCol w:w="2527"/>
        <w:gridCol w:w="2527"/>
        <w:gridCol w:w="2877"/>
      </w:tblGrid>
      <w:tr>
        <w:trPr>
          <w:trHeight w:val="3309" w:hRule="atLeast"/>
        </w:trPr>
        <w:tc>
          <w:tcPr>
            <w:tcW w:w="2527" w:type="dxa"/>
          </w:tcPr>
          <w:p>
            <w:pPr>
              <w:pStyle w:val="TableParagraph"/>
              <w:rPr>
                <w:sz w:val="20"/>
              </w:rPr>
            </w:pPr>
          </w:p>
        </w:tc>
        <w:tc>
          <w:tcPr>
            <w:tcW w:w="2527" w:type="dxa"/>
          </w:tcPr>
          <w:p>
            <w:pPr>
              <w:pStyle w:val="TableParagraph"/>
              <w:rPr>
                <w:sz w:val="20"/>
              </w:rPr>
            </w:pPr>
          </w:p>
        </w:tc>
        <w:tc>
          <w:tcPr>
            <w:tcW w:w="2527" w:type="dxa"/>
          </w:tcPr>
          <w:p>
            <w:pPr>
              <w:pStyle w:val="TableParagraph"/>
              <w:ind w:left="117" w:right="187"/>
              <w:rPr>
                <w:sz w:val="22"/>
              </w:rPr>
            </w:pPr>
            <w:r>
              <w:rPr>
                <w:sz w:val="22"/>
              </w:rPr>
              <w:t>bar-related organizations for consideration by the Executive Council.</w:t>
            </w:r>
          </w:p>
          <w:p>
            <w:pPr>
              <w:pStyle w:val="TableParagraph"/>
              <w:spacing w:before="6"/>
              <w:rPr>
                <w:sz w:val="21"/>
              </w:rPr>
            </w:pPr>
          </w:p>
          <w:p>
            <w:pPr>
              <w:pStyle w:val="TableParagraph"/>
              <w:ind w:left="117" w:right="168" w:hanging="10"/>
              <w:rPr>
                <w:sz w:val="22"/>
              </w:rPr>
            </w:pPr>
            <w:r>
              <w:rPr>
                <w:sz w:val="22"/>
              </w:rPr>
              <w:t>Working with the Labor &amp; Employment Law Certification Committee to discuss methods of improving the Update and Certification Review Seminar as a vehicle for preparing examinees.</w:t>
            </w:r>
          </w:p>
        </w:tc>
        <w:tc>
          <w:tcPr>
            <w:tcW w:w="2877" w:type="dxa"/>
          </w:tcPr>
          <w:p>
            <w:pPr>
              <w:pStyle w:val="TableParagraph"/>
              <w:rPr>
                <w:sz w:val="20"/>
              </w:rPr>
            </w:pPr>
          </w:p>
        </w:tc>
      </w:tr>
      <w:tr>
        <w:trPr>
          <w:trHeight w:val="757" w:hRule="atLeast"/>
        </w:trPr>
        <w:tc>
          <w:tcPr>
            <w:tcW w:w="2527" w:type="dxa"/>
          </w:tcPr>
          <w:p>
            <w:pPr>
              <w:pStyle w:val="TableParagraph"/>
              <w:spacing w:line="259" w:lineRule="auto"/>
              <w:ind w:left="107" w:right="617"/>
              <w:rPr>
                <w:sz w:val="22"/>
              </w:rPr>
            </w:pPr>
            <w:r>
              <w:rPr>
                <w:sz w:val="22"/>
              </w:rPr>
              <w:t>Trial Skills Seminar Committee</w:t>
            </w:r>
          </w:p>
        </w:tc>
        <w:tc>
          <w:tcPr>
            <w:tcW w:w="2527" w:type="dxa"/>
          </w:tcPr>
          <w:p>
            <w:pPr>
              <w:pStyle w:val="TableParagraph"/>
              <w:ind w:left="108" w:right="182"/>
              <w:rPr>
                <w:sz w:val="22"/>
              </w:rPr>
            </w:pPr>
            <w:r>
              <w:rPr>
                <w:sz w:val="22"/>
              </w:rPr>
              <w:t>Robyn Hankins / Chelsie Flynn / Leslie Reicin</w:t>
            </w:r>
          </w:p>
          <w:p>
            <w:pPr>
              <w:pStyle w:val="TableParagraph"/>
              <w:spacing w:line="237" w:lineRule="exact"/>
              <w:ind w:left="108"/>
              <w:rPr>
                <w:sz w:val="22"/>
              </w:rPr>
            </w:pPr>
            <w:r>
              <w:rPr>
                <w:sz w:val="22"/>
              </w:rPr>
              <w:t>Stein</w:t>
            </w:r>
          </w:p>
        </w:tc>
        <w:tc>
          <w:tcPr>
            <w:tcW w:w="2527" w:type="dxa"/>
          </w:tcPr>
          <w:p>
            <w:pPr>
              <w:pStyle w:val="TableParagraph"/>
              <w:rPr>
                <w:sz w:val="20"/>
              </w:rPr>
            </w:pPr>
          </w:p>
        </w:tc>
        <w:tc>
          <w:tcPr>
            <w:tcW w:w="2877" w:type="dxa"/>
          </w:tcPr>
          <w:p>
            <w:pPr>
              <w:pStyle w:val="TableParagraph"/>
              <w:rPr>
                <w:sz w:val="20"/>
              </w:rPr>
            </w:pPr>
          </w:p>
        </w:tc>
      </w:tr>
      <w:tr>
        <w:trPr>
          <w:trHeight w:val="820" w:hRule="atLeast"/>
        </w:trPr>
        <w:tc>
          <w:tcPr>
            <w:tcW w:w="2527" w:type="dxa"/>
          </w:tcPr>
          <w:p>
            <w:pPr>
              <w:pStyle w:val="TableParagraph"/>
              <w:spacing w:line="259" w:lineRule="auto"/>
              <w:ind w:left="107" w:right="342"/>
              <w:rPr>
                <w:sz w:val="22"/>
              </w:rPr>
            </w:pPr>
            <w:r>
              <w:rPr>
                <w:sz w:val="22"/>
              </w:rPr>
              <w:t>Wage and Hour Administration Liaison</w:t>
            </w:r>
          </w:p>
          <w:p>
            <w:pPr>
              <w:pStyle w:val="TableParagraph"/>
              <w:ind w:left="107"/>
              <w:rPr>
                <w:sz w:val="22"/>
              </w:rPr>
            </w:pPr>
            <w:r>
              <w:rPr>
                <w:sz w:val="22"/>
              </w:rPr>
              <w:t>Committee</w:t>
            </w:r>
          </w:p>
        </w:tc>
        <w:tc>
          <w:tcPr>
            <w:tcW w:w="2527" w:type="dxa"/>
          </w:tcPr>
          <w:p>
            <w:pPr>
              <w:pStyle w:val="TableParagraph"/>
              <w:spacing w:before="2"/>
              <w:rPr>
                <w:sz w:val="27"/>
              </w:rPr>
            </w:pPr>
          </w:p>
          <w:p>
            <w:pPr>
              <w:pStyle w:val="TableParagraph"/>
              <w:spacing w:line="252" w:lineRule="exact"/>
              <w:ind w:left="108" w:right="605"/>
              <w:rPr>
                <w:sz w:val="22"/>
              </w:rPr>
            </w:pPr>
            <w:r>
              <w:rPr>
                <w:sz w:val="22"/>
              </w:rPr>
              <w:t>Jay Lechner /Angeli Murthy</w:t>
            </w:r>
          </w:p>
        </w:tc>
        <w:tc>
          <w:tcPr>
            <w:tcW w:w="2527" w:type="dxa"/>
          </w:tcPr>
          <w:p>
            <w:pPr>
              <w:pStyle w:val="TableParagraph"/>
              <w:rPr>
                <w:sz w:val="20"/>
              </w:rPr>
            </w:pPr>
          </w:p>
        </w:tc>
        <w:tc>
          <w:tcPr>
            <w:tcW w:w="2877" w:type="dxa"/>
          </w:tcPr>
          <w:p>
            <w:pPr>
              <w:pStyle w:val="TableParagraph"/>
              <w:rPr>
                <w:sz w:val="20"/>
              </w:rPr>
            </w:pPr>
          </w:p>
        </w:tc>
      </w:tr>
      <w:tr>
        <w:trPr>
          <w:trHeight w:val="1636" w:hRule="atLeast"/>
        </w:trPr>
        <w:tc>
          <w:tcPr>
            <w:tcW w:w="2527" w:type="dxa"/>
          </w:tcPr>
          <w:p>
            <w:pPr>
              <w:pStyle w:val="TableParagraph"/>
              <w:spacing w:line="259" w:lineRule="auto"/>
              <w:ind w:left="107" w:right="557"/>
              <w:rPr>
                <w:sz w:val="22"/>
              </w:rPr>
            </w:pPr>
            <w:r>
              <w:rPr>
                <w:sz w:val="22"/>
              </w:rPr>
              <w:t>Workplace Health &amp; Safety Committee</w:t>
            </w:r>
          </w:p>
        </w:tc>
        <w:tc>
          <w:tcPr>
            <w:tcW w:w="252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3"/>
              </w:rPr>
            </w:pPr>
          </w:p>
          <w:p>
            <w:pPr>
              <w:pStyle w:val="TableParagraph"/>
              <w:spacing w:line="237" w:lineRule="exact" w:before="1"/>
              <w:ind w:left="108"/>
              <w:rPr>
                <w:sz w:val="22"/>
              </w:rPr>
            </w:pPr>
            <w:r>
              <w:rPr>
                <w:sz w:val="22"/>
              </w:rPr>
              <w:t>Eric Holshouser</w:t>
            </w:r>
          </w:p>
        </w:tc>
        <w:tc>
          <w:tcPr>
            <w:tcW w:w="2527" w:type="dxa"/>
          </w:tcPr>
          <w:p>
            <w:pPr>
              <w:pStyle w:val="TableParagraph"/>
              <w:spacing w:line="259" w:lineRule="auto"/>
              <w:ind w:left="108" w:right="98"/>
              <w:rPr>
                <w:sz w:val="22"/>
              </w:rPr>
            </w:pPr>
            <w:r>
              <w:rPr>
                <w:sz w:val="22"/>
              </w:rPr>
              <w:t>To include a safety or health topic in one of our CLE programs, beyond just the half hour piece on OSHA at the certification</w:t>
            </w:r>
          </w:p>
          <w:p>
            <w:pPr>
              <w:pStyle w:val="TableParagraph"/>
              <w:spacing w:line="252" w:lineRule="exact"/>
              <w:ind w:left="108"/>
              <w:rPr>
                <w:sz w:val="22"/>
              </w:rPr>
            </w:pPr>
            <w:r>
              <w:rPr>
                <w:sz w:val="22"/>
              </w:rPr>
              <w:t>review seminar</w:t>
            </w:r>
          </w:p>
        </w:tc>
        <w:tc>
          <w:tcPr>
            <w:tcW w:w="2877" w:type="dxa"/>
          </w:tcPr>
          <w:p>
            <w:pPr>
              <w:pStyle w:val="TableParagraph"/>
              <w:rPr>
                <w:sz w:val="20"/>
              </w:rPr>
            </w:pPr>
          </w:p>
        </w:tc>
      </w:tr>
      <w:tr>
        <w:trPr>
          <w:trHeight w:val="546" w:hRule="atLeast"/>
        </w:trPr>
        <w:tc>
          <w:tcPr>
            <w:tcW w:w="2527" w:type="dxa"/>
          </w:tcPr>
          <w:p>
            <w:pPr>
              <w:pStyle w:val="TableParagraph"/>
              <w:spacing w:line="250" w:lineRule="exact"/>
              <w:ind w:left="107"/>
              <w:rPr>
                <w:sz w:val="22"/>
              </w:rPr>
            </w:pPr>
            <w:r>
              <w:rPr>
                <w:sz w:val="22"/>
              </w:rPr>
              <w:t>Communication</w:t>
            </w:r>
          </w:p>
          <w:p>
            <w:pPr>
              <w:pStyle w:val="TableParagraph"/>
              <w:spacing w:before="20"/>
              <w:ind w:left="107"/>
              <w:rPr>
                <w:sz w:val="22"/>
              </w:rPr>
            </w:pPr>
            <w:r>
              <w:rPr>
                <w:sz w:val="22"/>
              </w:rPr>
              <w:t>Committee</w:t>
            </w:r>
          </w:p>
        </w:tc>
        <w:tc>
          <w:tcPr>
            <w:tcW w:w="2527" w:type="dxa"/>
          </w:tcPr>
          <w:p>
            <w:pPr>
              <w:pStyle w:val="TableParagraph"/>
              <w:rPr>
                <w:sz w:val="20"/>
              </w:rPr>
            </w:pPr>
          </w:p>
        </w:tc>
        <w:tc>
          <w:tcPr>
            <w:tcW w:w="2527" w:type="dxa"/>
          </w:tcPr>
          <w:p>
            <w:pPr>
              <w:pStyle w:val="TableParagraph"/>
              <w:rPr>
                <w:sz w:val="20"/>
              </w:rPr>
            </w:pPr>
          </w:p>
        </w:tc>
        <w:tc>
          <w:tcPr>
            <w:tcW w:w="2877" w:type="dxa"/>
          </w:tcPr>
          <w:p>
            <w:pPr>
              <w:pStyle w:val="TableParagraph"/>
              <w:rPr>
                <w:sz w:val="20"/>
              </w:rPr>
            </w:pPr>
          </w:p>
        </w:tc>
      </w:tr>
      <w:tr>
        <w:trPr>
          <w:trHeight w:val="3448" w:hRule="atLeast"/>
        </w:trPr>
        <w:tc>
          <w:tcPr>
            <w:tcW w:w="2527" w:type="dxa"/>
          </w:tcPr>
          <w:p>
            <w:pPr>
              <w:pStyle w:val="TableParagraph"/>
              <w:spacing w:line="259" w:lineRule="auto"/>
              <w:ind w:left="107" w:right="716"/>
              <w:rPr>
                <w:sz w:val="22"/>
              </w:rPr>
            </w:pPr>
            <w:r>
              <w:rPr>
                <w:sz w:val="22"/>
              </w:rPr>
              <w:t>Publications Subcommittee (Checkoff/Journal)</w:t>
            </w:r>
          </w:p>
        </w:tc>
        <w:tc>
          <w:tcPr>
            <w:tcW w:w="252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252" w:lineRule="exact" w:before="183"/>
              <w:ind w:left="108"/>
              <w:rPr>
                <w:sz w:val="22"/>
              </w:rPr>
            </w:pPr>
            <w:r>
              <w:rPr>
                <w:sz w:val="22"/>
              </w:rPr>
              <w:t>Carlo Marichal / Rob Eschenfelder</w:t>
            </w:r>
          </w:p>
        </w:tc>
        <w:tc>
          <w:tcPr>
            <w:tcW w:w="2527" w:type="dxa"/>
          </w:tcPr>
          <w:p>
            <w:pPr>
              <w:pStyle w:val="TableParagraph"/>
              <w:spacing w:line="249" w:lineRule="auto"/>
              <w:ind w:left="117" w:right="192" w:firstLine="45"/>
              <w:rPr>
                <w:sz w:val="22"/>
              </w:rPr>
            </w:pPr>
            <w:r>
              <w:rPr>
                <w:sz w:val="22"/>
              </w:rPr>
              <w:t>Have the section represented in each edition of the Journal for the Bar year</w:t>
            </w:r>
          </w:p>
          <w:p>
            <w:pPr>
              <w:pStyle w:val="TableParagraph"/>
              <w:spacing w:line="249" w:lineRule="auto" w:before="3"/>
              <w:ind w:left="108" w:right="143" w:firstLine="55"/>
              <w:rPr>
                <w:sz w:val="22"/>
              </w:rPr>
            </w:pPr>
            <w:r>
              <w:rPr>
                <w:sz w:val="22"/>
              </w:rPr>
              <w:t>Create process where we afford speaking opportunities @ our CLEs for our authors Create a “Section Article of the Year” award for the article the EC feels is the best of the</w:t>
            </w:r>
            <w:r>
              <w:rPr>
                <w:spacing w:val="-5"/>
                <w:sz w:val="22"/>
              </w:rPr>
              <w:t> </w:t>
            </w:r>
            <w:r>
              <w:rPr>
                <w:sz w:val="22"/>
              </w:rPr>
              <w:t>year</w:t>
            </w:r>
          </w:p>
        </w:tc>
        <w:tc>
          <w:tcPr>
            <w:tcW w:w="2877" w:type="dxa"/>
          </w:tcPr>
          <w:p>
            <w:pPr>
              <w:pStyle w:val="TableParagraph"/>
              <w:rPr>
                <w:sz w:val="20"/>
              </w:rPr>
            </w:pPr>
          </w:p>
        </w:tc>
      </w:tr>
      <w:tr>
        <w:trPr>
          <w:trHeight w:val="760" w:hRule="atLeast"/>
        </w:trPr>
        <w:tc>
          <w:tcPr>
            <w:tcW w:w="2527" w:type="dxa"/>
          </w:tcPr>
          <w:p>
            <w:pPr>
              <w:pStyle w:val="TableParagraph"/>
              <w:spacing w:line="256" w:lineRule="auto"/>
              <w:ind w:left="107" w:right="123"/>
              <w:rPr>
                <w:sz w:val="22"/>
              </w:rPr>
            </w:pPr>
            <w:r>
              <w:rPr>
                <w:sz w:val="22"/>
              </w:rPr>
              <w:t>Social Media/Advertising Subcommittee</w:t>
            </w:r>
          </w:p>
        </w:tc>
        <w:tc>
          <w:tcPr>
            <w:tcW w:w="2527" w:type="dxa"/>
          </w:tcPr>
          <w:p>
            <w:pPr>
              <w:pStyle w:val="TableParagraph"/>
              <w:spacing w:line="252" w:lineRule="exact"/>
              <w:ind w:left="108" w:right="409"/>
              <w:rPr>
                <w:sz w:val="22"/>
              </w:rPr>
            </w:pPr>
            <w:r>
              <w:rPr>
                <w:sz w:val="22"/>
              </w:rPr>
              <w:t>Brian Lerner (Social Media) Cathleen Scott (advertising)</w:t>
            </w:r>
          </w:p>
        </w:tc>
        <w:tc>
          <w:tcPr>
            <w:tcW w:w="2527" w:type="dxa"/>
          </w:tcPr>
          <w:p>
            <w:pPr>
              <w:pStyle w:val="TableParagraph"/>
              <w:rPr>
                <w:sz w:val="20"/>
              </w:rPr>
            </w:pPr>
          </w:p>
        </w:tc>
        <w:tc>
          <w:tcPr>
            <w:tcW w:w="2877" w:type="dxa"/>
          </w:tcPr>
          <w:p>
            <w:pPr>
              <w:pStyle w:val="TableParagraph"/>
              <w:rPr>
                <w:sz w:val="20"/>
              </w:rPr>
            </w:pPr>
          </w:p>
        </w:tc>
      </w:tr>
      <w:tr>
        <w:trPr>
          <w:trHeight w:val="3035" w:hRule="atLeast"/>
        </w:trPr>
        <w:tc>
          <w:tcPr>
            <w:tcW w:w="2527" w:type="dxa"/>
          </w:tcPr>
          <w:p>
            <w:pPr>
              <w:pStyle w:val="TableParagraph"/>
              <w:spacing w:line="250" w:lineRule="exact"/>
              <w:ind w:left="107"/>
              <w:rPr>
                <w:sz w:val="22"/>
              </w:rPr>
            </w:pPr>
            <w:r>
              <w:rPr>
                <w:sz w:val="22"/>
              </w:rPr>
              <w:t>Website Subcommittee</w:t>
            </w:r>
          </w:p>
        </w:tc>
        <w:tc>
          <w:tcPr>
            <w:tcW w:w="2527"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29"/>
              </w:rPr>
            </w:pPr>
          </w:p>
          <w:p>
            <w:pPr>
              <w:pStyle w:val="TableParagraph"/>
              <w:ind w:left="108" w:right="305"/>
              <w:rPr>
                <w:sz w:val="22"/>
              </w:rPr>
            </w:pPr>
            <w:r>
              <w:rPr>
                <w:sz w:val="22"/>
              </w:rPr>
              <w:t>Hon. Frank Brown / Yvette Everhart / Brian</w:t>
            </w:r>
          </w:p>
          <w:p>
            <w:pPr>
              <w:pStyle w:val="TableParagraph"/>
              <w:spacing w:line="237" w:lineRule="exact" w:before="1"/>
              <w:ind w:left="108"/>
              <w:rPr>
                <w:sz w:val="22"/>
              </w:rPr>
            </w:pPr>
            <w:r>
              <w:rPr>
                <w:sz w:val="22"/>
              </w:rPr>
              <w:t>Lerner</w:t>
            </w:r>
          </w:p>
        </w:tc>
        <w:tc>
          <w:tcPr>
            <w:tcW w:w="2527" w:type="dxa"/>
          </w:tcPr>
          <w:p>
            <w:pPr>
              <w:pStyle w:val="TableParagraph"/>
              <w:ind w:left="108" w:right="177"/>
              <w:rPr>
                <w:sz w:val="22"/>
              </w:rPr>
            </w:pPr>
            <w:r>
              <w:rPr>
                <w:sz w:val="22"/>
              </w:rPr>
              <w:t>Development and rollout of a new section website (including rebranding); Implementation of new EC meeting technology (conference call system); and</w:t>
            </w:r>
          </w:p>
          <w:p>
            <w:pPr>
              <w:pStyle w:val="TableParagraph"/>
              <w:ind w:left="117" w:right="145" w:hanging="10"/>
              <w:rPr>
                <w:sz w:val="22"/>
              </w:rPr>
            </w:pPr>
            <w:r>
              <w:rPr>
                <w:sz w:val="22"/>
              </w:rPr>
              <w:t>Retention of an administrative assistant for website administration and e-case</w:t>
            </w:r>
          </w:p>
          <w:p>
            <w:pPr>
              <w:pStyle w:val="TableParagraph"/>
              <w:spacing w:line="237" w:lineRule="exact"/>
              <w:ind w:left="117"/>
              <w:rPr>
                <w:sz w:val="22"/>
              </w:rPr>
            </w:pPr>
            <w:r>
              <w:rPr>
                <w:sz w:val="22"/>
              </w:rPr>
              <w:t>summaries.</w:t>
            </w:r>
          </w:p>
        </w:tc>
        <w:tc>
          <w:tcPr>
            <w:tcW w:w="2877" w:type="dxa"/>
          </w:tcPr>
          <w:p>
            <w:pPr>
              <w:pStyle w:val="TableParagraph"/>
              <w:rPr>
                <w:sz w:val="20"/>
              </w:rPr>
            </w:pPr>
          </w:p>
        </w:tc>
      </w:tr>
    </w:tbl>
    <w:p>
      <w:pPr>
        <w:spacing w:after="0"/>
        <w:rPr>
          <w:sz w:val="20"/>
        </w:rPr>
        <w:sectPr>
          <w:footerReference w:type="default" r:id="rId17"/>
          <w:pgSz w:w="12240" w:h="15840"/>
          <w:pgMar w:footer="155" w:header="0" w:top="580" w:bottom="340" w:left="0" w:right="0"/>
        </w:sectPr>
      </w:pPr>
    </w:p>
    <w:p>
      <w:pPr>
        <w:pStyle w:val="Heading6"/>
        <w:spacing w:before="79"/>
        <w:ind w:left="3286" w:right="3286"/>
        <w:rPr>
          <w:rFonts w:ascii="Times New Roman"/>
        </w:rPr>
      </w:pPr>
      <w:bookmarkStart w:name="6 - Exhibit D - Bar Journal Report REVIS" w:id="21"/>
      <w:bookmarkEnd w:id="21"/>
      <w:r>
        <w:rPr>
          <w:b w:val="0"/>
        </w:rPr>
      </w:r>
      <w:r>
        <w:rPr>
          <w:rFonts w:ascii="Times New Roman"/>
        </w:rPr>
        <w:t>Bar Journal Report</w:t>
      </w:r>
    </w:p>
    <w:p>
      <w:pPr>
        <w:spacing w:line="240" w:lineRule="auto" w:before="0"/>
        <w:rPr>
          <w:b/>
          <w:sz w:val="24"/>
        </w:rPr>
      </w:pPr>
    </w:p>
    <w:p>
      <w:pPr>
        <w:pStyle w:val="BodyText"/>
        <w:ind w:left="1440"/>
        <w:rPr>
          <w:rFonts w:ascii="Times New Roman"/>
        </w:rPr>
      </w:pPr>
      <w:r>
        <w:rPr>
          <w:rFonts w:ascii="Times New Roman"/>
        </w:rPr>
        <w:t>Chair Scott and Executive Council Members,</w:t>
      </w:r>
    </w:p>
    <w:p>
      <w:pPr>
        <w:spacing w:line="240" w:lineRule="auto" w:before="6"/>
        <w:rPr>
          <w:sz w:val="23"/>
        </w:rPr>
      </w:pPr>
    </w:p>
    <w:p>
      <w:pPr>
        <w:pStyle w:val="BodyText"/>
        <w:ind w:left="1439" w:right="1440"/>
        <w:rPr>
          <w:rFonts w:ascii="Times New Roman" w:hAnsi="Times New Roman"/>
        </w:rPr>
      </w:pPr>
      <w:r>
        <w:rPr>
          <w:rFonts w:ascii="Times New Roman" w:hAnsi="Times New Roman"/>
        </w:rPr>
        <w:t>In advance of the </w:t>
      </w:r>
      <w:r>
        <w:rPr>
          <w:rFonts w:ascii="Times New Roman" w:hAnsi="Times New Roman"/>
          <w:b/>
        </w:rPr>
        <w:t>January 17</w:t>
      </w:r>
      <w:r>
        <w:rPr>
          <w:rFonts w:ascii="Times New Roman" w:hAnsi="Times New Roman"/>
          <w:b/>
          <w:position w:val="8"/>
          <w:sz w:val="16"/>
        </w:rPr>
        <w:t>th </w:t>
      </w:r>
      <w:r>
        <w:rPr>
          <w:rFonts w:ascii="Times New Roman" w:hAnsi="Times New Roman"/>
          <w:b/>
        </w:rPr>
        <w:t>2019 </w:t>
      </w:r>
      <w:r>
        <w:rPr>
          <w:rFonts w:ascii="Times New Roman" w:hAnsi="Times New Roman"/>
        </w:rPr>
        <w:t>Executive Council meeting, below please find my calendar </w:t>
      </w:r>
      <w:r>
        <w:rPr>
          <w:rFonts w:ascii="Times New Roman" w:hAnsi="Times New Roman"/>
          <w:u w:val="single"/>
        </w:rPr>
        <w:t>year-to-date</w:t>
      </w:r>
      <w:r>
        <w:rPr>
          <w:rFonts w:ascii="Times New Roman" w:hAnsi="Times New Roman"/>
        </w:rPr>
        <w:t> report of the Section’s Florida Bar Journal activities:</w:t>
      </w:r>
    </w:p>
    <w:p>
      <w:pPr>
        <w:spacing w:line="240" w:lineRule="auto" w:before="2"/>
        <w:rPr>
          <w:sz w:val="16"/>
        </w:rPr>
      </w:pPr>
    </w:p>
    <w:p>
      <w:pPr>
        <w:pStyle w:val="Heading7"/>
        <w:spacing w:before="90"/>
        <w:ind w:right="3284"/>
        <w:rPr>
          <w:i/>
        </w:rPr>
      </w:pPr>
      <w:r>
        <w:rPr>
          <w:i/>
        </w:rPr>
        <w:t>Authors Currently Working</w:t>
      </w:r>
    </w:p>
    <w:p>
      <w:pPr>
        <w:spacing w:line="240" w:lineRule="auto" w:before="0"/>
        <w:rPr>
          <w:b/>
          <w:i/>
          <w:sz w:val="24"/>
        </w:rPr>
      </w:pPr>
    </w:p>
    <w:p>
      <w:pPr>
        <w:pStyle w:val="ListParagraph"/>
        <w:numPr>
          <w:ilvl w:val="0"/>
          <w:numId w:val="3"/>
        </w:numPr>
        <w:tabs>
          <w:tab w:pos="1440" w:val="left" w:leader="none"/>
        </w:tabs>
        <w:spacing w:line="240" w:lineRule="auto" w:before="0" w:after="0"/>
        <w:ind w:left="1440" w:right="1437" w:hanging="360"/>
        <w:jc w:val="both"/>
        <w:rPr>
          <w:rFonts w:ascii="Times New Roman" w:hAnsi="Times New Roman"/>
          <w:sz w:val="24"/>
        </w:rPr>
      </w:pPr>
      <w:r>
        <w:rPr>
          <w:rFonts w:ascii="Times New Roman" w:hAnsi="Times New Roman"/>
          <w:sz w:val="24"/>
        </w:rPr>
        <w:t>Authors Greg Morton and Richard Siwica have agreed to write an article providing extensive treatment of unfair labor practices under both the FPELRA and the NLRA. They expect to be ready for submission in time for the </w:t>
      </w:r>
      <w:r>
        <w:rPr>
          <w:rFonts w:ascii="Times New Roman" w:hAnsi="Times New Roman"/>
          <w:b/>
          <w:sz w:val="24"/>
        </w:rPr>
        <w:t>September/October 2019 </w:t>
      </w:r>
      <w:r>
        <w:rPr>
          <w:rFonts w:ascii="Times New Roman" w:hAnsi="Times New Roman"/>
          <w:sz w:val="24"/>
        </w:rPr>
        <w:t>Journal</w:t>
      </w:r>
      <w:r>
        <w:rPr>
          <w:rFonts w:ascii="Times New Roman" w:hAnsi="Times New Roman"/>
          <w:spacing w:val="-12"/>
          <w:sz w:val="24"/>
        </w:rPr>
        <w:t> </w:t>
      </w:r>
      <w:r>
        <w:rPr>
          <w:rFonts w:ascii="Times New Roman" w:hAnsi="Times New Roman"/>
          <w:sz w:val="24"/>
        </w:rPr>
        <w:t>issue.</w:t>
      </w:r>
    </w:p>
    <w:p>
      <w:pPr>
        <w:spacing w:line="240" w:lineRule="auto" w:before="10"/>
        <w:rPr>
          <w:sz w:val="23"/>
        </w:rPr>
      </w:pPr>
    </w:p>
    <w:p>
      <w:pPr>
        <w:pStyle w:val="ListParagraph"/>
        <w:numPr>
          <w:ilvl w:val="0"/>
          <w:numId w:val="3"/>
        </w:numPr>
        <w:tabs>
          <w:tab w:pos="1440" w:val="left" w:leader="none"/>
        </w:tabs>
        <w:spacing w:line="240" w:lineRule="auto" w:before="0" w:after="0"/>
        <w:ind w:left="1440" w:right="1440" w:hanging="360"/>
        <w:jc w:val="both"/>
        <w:rPr>
          <w:rFonts w:ascii="Times New Roman" w:hAnsi="Times New Roman"/>
          <w:sz w:val="24"/>
        </w:rPr>
      </w:pPr>
      <w:r>
        <w:rPr>
          <w:rFonts w:ascii="Times New Roman" w:hAnsi="Times New Roman"/>
          <w:sz w:val="24"/>
        </w:rPr>
        <w:t>Author Jackie Prats has agreed to write an article on the distinctions between offers of judgment in state vs. federal employment law cases. She expects to submit her draft for editing in time for inclusion in the N</w:t>
      </w:r>
      <w:r>
        <w:rPr>
          <w:rFonts w:ascii="Times New Roman" w:hAnsi="Times New Roman"/>
          <w:b/>
          <w:sz w:val="24"/>
        </w:rPr>
        <w:t>ovember/December 2019 </w:t>
      </w:r>
      <w:r>
        <w:rPr>
          <w:rFonts w:ascii="Times New Roman" w:hAnsi="Times New Roman"/>
          <w:sz w:val="24"/>
        </w:rPr>
        <w:t>Journal</w:t>
      </w:r>
      <w:r>
        <w:rPr>
          <w:rFonts w:ascii="Times New Roman" w:hAnsi="Times New Roman"/>
          <w:spacing w:val="-3"/>
          <w:sz w:val="24"/>
        </w:rPr>
        <w:t> </w:t>
      </w:r>
      <w:r>
        <w:rPr>
          <w:rFonts w:ascii="Times New Roman" w:hAnsi="Times New Roman"/>
          <w:sz w:val="24"/>
        </w:rPr>
        <w:t>issue.</w:t>
      </w:r>
    </w:p>
    <w:p>
      <w:pPr>
        <w:spacing w:line="240" w:lineRule="auto" w:before="11"/>
        <w:rPr>
          <w:sz w:val="23"/>
        </w:rPr>
      </w:pPr>
    </w:p>
    <w:p>
      <w:pPr>
        <w:pStyle w:val="Heading7"/>
        <w:ind w:right="3285"/>
        <w:rPr>
          <w:i/>
        </w:rPr>
      </w:pPr>
      <w:r>
        <w:rPr>
          <w:i/>
        </w:rPr>
        <w:t>Articles Set to Publish</w:t>
      </w:r>
    </w:p>
    <w:p>
      <w:pPr>
        <w:spacing w:line="240" w:lineRule="auto" w:before="11"/>
        <w:rPr>
          <w:b/>
          <w:i/>
          <w:sz w:val="23"/>
        </w:rPr>
      </w:pPr>
    </w:p>
    <w:p>
      <w:pPr>
        <w:pStyle w:val="ListParagraph"/>
        <w:numPr>
          <w:ilvl w:val="0"/>
          <w:numId w:val="3"/>
        </w:numPr>
        <w:tabs>
          <w:tab w:pos="1440" w:val="left" w:leader="none"/>
        </w:tabs>
        <w:spacing w:line="240" w:lineRule="auto" w:before="0" w:after="0"/>
        <w:ind w:left="1439" w:right="1437" w:hanging="360"/>
        <w:jc w:val="both"/>
        <w:rPr>
          <w:rFonts w:ascii="Times New Roman" w:hAnsi="Times New Roman"/>
          <w:sz w:val="24"/>
        </w:rPr>
      </w:pPr>
      <w:r>
        <w:rPr>
          <w:rFonts w:ascii="Times New Roman" w:hAnsi="Times New Roman"/>
          <w:sz w:val="24"/>
        </w:rPr>
        <w:t>The two-part article entitled “</w:t>
      </w:r>
      <w:r>
        <w:rPr>
          <w:rFonts w:ascii="Times New Roman" w:hAnsi="Times New Roman"/>
          <w:i/>
          <w:sz w:val="24"/>
        </w:rPr>
        <w:t>Legal Challenges to Labor Arbitration Awards</w:t>
      </w:r>
      <w:r>
        <w:rPr>
          <w:rFonts w:ascii="Times New Roman" w:hAnsi="Times New Roman"/>
          <w:sz w:val="24"/>
        </w:rPr>
        <w:t>” by author Donald Spero has been edited and submitted to the Bar Journal. Part I is scheduled to be published in the </w:t>
      </w:r>
      <w:r>
        <w:rPr>
          <w:rFonts w:ascii="Times New Roman" w:hAnsi="Times New Roman"/>
          <w:b/>
          <w:sz w:val="24"/>
        </w:rPr>
        <w:t>March/April 2019 </w:t>
      </w:r>
      <w:r>
        <w:rPr>
          <w:rFonts w:ascii="Times New Roman" w:hAnsi="Times New Roman"/>
          <w:sz w:val="24"/>
        </w:rPr>
        <w:t>Journal issue with Part II scheduled to publish in the </w:t>
      </w:r>
      <w:r>
        <w:rPr>
          <w:rFonts w:ascii="Times New Roman" w:hAnsi="Times New Roman"/>
          <w:b/>
          <w:sz w:val="24"/>
        </w:rPr>
        <w:t>May/June 2019</w:t>
      </w:r>
      <w:r>
        <w:rPr>
          <w:rFonts w:ascii="Times New Roman" w:hAnsi="Times New Roman"/>
          <w:b/>
          <w:spacing w:val="-19"/>
          <w:sz w:val="24"/>
        </w:rPr>
        <w:t> </w:t>
      </w:r>
      <w:r>
        <w:rPr>
          <w:rFonts w:ascii="Times New Roman" w:hAnsi="Times New Roman"/>
          <w:sz w:val="24"/>
        </w:rPr>
        <w:t>Journal</w:t>
      </w:r>
    </w:p>
    <w:p>
      <w:pPr>
        <w:spacing w:line="240" w:lineRule="auto" w:before="8"/>
        <w:rPr>
          <w:sz w:val="24"/>
        </w:rPr>
      </w:pPr>
    </w:p>
    <w:p>
      <w:pPr>
        <w:pStyle w:val="ListParagraph"/>
        <w:numPr>
          <w:ilvl w:val="0"/>
          <w:numId w:val="3"/>
        </w:numPr>
        <w:tabs>
          <w:tab w:pos="1440" w:val="left" w:leader="none"/>
        </w:tabs>
        <w:spacing w:line="230" w:lineRule="auto" w:before="1" w:after="0"/>
        <w:ind w:left="1439" w:right="1433" w:hanging="360"/>
        <w:jc w:val="both"/>
        <w:rPr>
          <w:rFonts w:ascii="Times New Roman" w:hAnsi="Times New Roman"/>
          <w:sz w:val="24"/>
        </w:rPr>
      </w:pPr>
      <w:r>
        <w:rPr>
          <w:rFonts w:ascii="Times New Roman" w:hAnsi="Times New Roman"/>
          <w:sz w:val="24"/>
        </w:rPr>
        <w:t>The article “</w:t>
      </w:r>
      <w:r>
        <w:rPr>
          <w:rFonts w:ascii="Times New Roman" w:hAnsi="Times New Roman"/>
          <w:i/>
          <w:sz w:val="24"/>
        </w:rPr>
        <w:t>When is Goodwill a Legitimate Business Interest in a Restrictive Covenant </w:t>
      </w:r>
      <w:r>
        <w:rPr>
          <w:rFonts w:ascii="Times New Roman" w:hAnsi="Times New Roman"/>
          <w:i/>
          <w:sz w:val="24"/>
        </w:rPr>
        <w:t>Enforcement</w:t>
      </w:r>
      <w:r>
        <w:rPr>
          <w:rFonts w:ascii="Times New Roman" w:hAnsi="Times New Roman"/>
          <w:i/>
          <w:spacing w:val="-9"/>
          <w:sz w:val="24"/>
        </w:rPr>
        <w:t> </w:t>
      </w:r>
      <w:r>
        <w:rPr>
          <w:rFonts w:ascii="Times New Roman" w:hAnsi="Times New Roman"/>
          <w:i/>
          <w:sz w:val="24"/>
        </w:rPr>
        <w:t>Action</w:t>
      </w:r>
      <w:r>
        <w:rPr>
          <w:rFonts w:ascii="Times New Roman" w:hAnsi="Times New Roman"/>
          <w:i/>
          <w:spacing w:val="-9"/>
          <w:sz w:val="24"/>
        </w:rPr>
        <w:t> </w:t>
      </w:r>
      <w:r>
        <w:rPr>
          <w:rFonts w:ascii="Times New Roman" w:hAnsi="Times New Roman"/>
          <w:i/>
          <w:sz w:val="24"/>
        </w:rPr>
        <w:t>in</w:t>
      </w:r>
      <w:r>
        <w:rPr>
          <w:rFonts w:ascii="Times New Roman" w:hAnsi="Times New Roman"/>
          <w:i/>
          <w:spacing w:val="-10"/>
          <w:sz w:val="24"/>
        </w:rPr>
        <w:t> </w:t>
      </w:r>
      <w:r>
        <w:rPr>
          <w:rFonts w:ascii="Times New Roman" w:hAnsi="Times New Roman"/>
          <w:i/>
          <w:sz w:val="24"/>
        </w:rPr>
        <w:t>the</w:t>
      </w:r>
      <w:r>
        <w:rPr>
          <w:rFonts w:ascii="Times New Roman" w:hAnsi="Times New Roman"/>
          <w:i/>
          <w:spacing w:val="-10"/>
          <w:sz w:val="24"/>
        </w:rPr>
        <w:t> </w:t>
      </w:r>
      <w:r>
        <w:rPr>
          <w:rFonts w:ascii="Times New Roman" w:hAnsi="Times New Roman"/>
          <w:i/>
          <w:sz w:val="24"/>
        </w:rPr>
        <w:t>Employment</w:t>
      </w:r>
      <w:r>
        <w:rPr>
          <w:rFonts w:ascii="Times New Roman" w:hAnsi="Times New Roman"/>
          <w:i/>
          <w:spacing w:val="-9"/>
          <w:sz w:val="24"/>
        </w:rPr>
        <w:t> </w:t>
      </w:r>
      <w:r>
        <w:rPr>
          <w:rFonts w:ascii="Times New Roman" w:hAnsi="Times New Roman"/>
          <w:i/>
          <w:sz w:val="24"/>
        </w:rPr>
        <w:t>Law</w:t>
      </w:r>
      <w:r>
        <w:rPr>
          <w:rFonts w:ascii="Times New Roman" w:hAnsi="Times New Roman"/>
          <w:i/>
          <w:spacing w:val="-8"/>
          <w:sz w:val="24"/>
        </w:rPr>
        <w:t> </w:t>
      </w:r>
      <w:r>
        <w:rPr>
          <w:rFonts w:ascii="Times New Roman" w:hAnsi="Times New Roman"/>
          <w:i/>
          <w:sz w:val="24"/>
        </w:rPr>
        <w:t>Setting?</w:t>
      </w:r>
      <w:r>
        <w:rPr>
          <w:rFonts w:ascii="Times New Roman" w:hAnsi="Times New Roman"/>
          <w:sz w:val="24"/>
        </w:rPr>
        <w:t>”</w:t>
      </w:r>
      <w:r>
        <w:rPr>
          <w:rFonts w:ascii="Times New Roman" w:hAnsi="Times New Roman"/>
          <w:spacing w:val="-11"/>
          <w:sz w:val="24"/>
        </w:rPr>
        <w:t> </w:t>
      </w:r>
      <w:r>
        <w:rPr>
          <w:rFonts w:ascii="Times New Roman" w:hAnsi="Times New Roman"/>
          <w:sz w:val="24"/>
        </w:rPr>
        <w:t>by</w:t>
      </w:r>
      <w:r>
        <w:rPr>
          <w:rFonts w:ascii="Times New Roman" w:hAnsi="Times New Roman"/>
          <w:spacing w:val="-13"/>
          <w:sz w:val="24"/>
        </w:rPr>
        <w:t> </w:t>
      </w:r>
      <w:r>
        <w:rPr>
          <w:rFonts w:ascii="Times New Roman" w:hAnsi="Times New Roman"/>
          <w:sz w:val="24"/>
        </w:rPr>
        <w:t>Ronald</w:t>
      </w:r>
      <w:r>
        <w:rPr>
          <w:rFonts w:ascii="Times New Roman" w:hAnsi="Times New Roman"/>
          <w:spacing w:val="-10"/>
          <w:sz w:val="24"/>
        </w:rPr>
        <w:t> </w:t>
      </w:r>
      <w:r>
        <w:rPr>
          <w:rFonts w:ascii="Times New Roman" w:hAnsi="Times New Roman"/>
          <w:sz w:val="24"/>
        </w:rPr>
        <w:t>P.</w:t>
      </w:r>
      <w:r>
        <w:rPr>
          <w:rFonts w:ascii="Times New Roman" w:hAnsi="Times New Roman"/>
          <w:spacing w:val="-9"/>
          <w:sz w:val="24"/>
        </w:rPr>
        <w:t> </w:t>
      </w:r>
      <w:r>
        <w:rPr>
          <w:rFonts w:ascii="Times New Roman" w:hAnsi="Times New Roman"/>
          <w:sz w:val="24"/>
        </w:rPr>
        <w:t>Angerer</w:t>
      </w:r>
      <w:r>
        <w:rPr>
          <w:rFonts w:ascii="Times New Roman" w:hAnsi="Times New Roman"/>
          <w:spacing w:val="-8"/>
          <w:sz w:val="24"/>
        </w:rPr>
        <w:t> </w:t>
      </w:r>
      <w:r>
        <w:rPr>
          <w:rFonts w:ascii="Times New Roman" w:hAnsi="Times New Roman"/>
          <w:sz w:val="24"/>
        </w:rPr>
        <w:t>II</w:t>
      </w:r>
      <w:r>
        <w:rPr>
          <w:rFonts w:ascii="Times New Roman" w:hAnsi="Times New Roman"/>
          <w:spacing w:val="-14"/>
          <w:sz w:val="24"/>
        </w:rPr>
        <w:t> </w:t>
      </w:r>
      <w:r>
        <w:rPr>
          <w:rFonts w:ascii="Times New Roman" w:hAnsi="Times New Roman"/>
          <w:sz w:val="24"/>
        </w:rPr>
        <w:t>has</w:t>
      </w:r>
      <w:r>
        <w:rPr>
          <w:rFonts w:ascii="Times New Roman" w:hAnsi="Times New Roman"/>
          <w:spacing w:val="-8"/>
          <w:sz w:val="24"/>
        </w:rPr>
        <w:t> </w:t>
      </w:r>
      <w:r>
        <w:rPr>
          <w:rFonts w:ascii="Times New Roman" w:hAnsi="Times New Roman"/>
          <w:sz w:val="24"/>
        </w:rPr>
        <w:t>been</w:t>
      </w:r>
      <w:r>
        <w:rPr>
          <w:rFonts w:ascii="Times New Roman" w:hAnsi="Times New Roman"/>
          <w:spacing w:val="-10"/>
          <w:sz w:val="24"/>
        </w:rPr>
        <w:t> </w:t>
      </w:r>
      <w:r>
        <w:rPr>
          <w:rFonts w:ascii="Times New Roman" w:hAnsi="Times New Roman"/>
          <w:sz w:val="24"/>
        </w:rPr>
        <w:t>submitted as of December 30</w:t>
      </w:r>
      <w:r>
        <w:rPr>
          <w:rFonts w:ascii="Times New Roman" w:hAnsi="Times New Roman"/>
          <w:position w:val="9"/>
          <w:sz w:val="16"/>
        </w:rPr>
        <w:t>th </w:t>
      </w:r>
      <w:r>
        <w:rPr>
          <w:rFonts w:ascii="Times New Roman" w:hAnsi="Times New Roman"/>
          <w:sz w:val="24"/>
        </w:rPr>
        <w:t>and is in the editing process. I anticipate editing will be completed by February 1</w:t>
      </w:r>
      <w:r>
        <w:rPr>
          <w:rFonts w:ascii="Times New Roman" w:hAnsi="Times New Roman"/>
          <w:position w:val="9"/>
          <w:sz w:val="16"/>
        </w:rPr>
        <w:t>st </w:t>
      </w:r>
      <w:r>
        <w:rPr>
          <w:rFonts w:ascii="Times New Roman" w:hAnsi="Times New Roman"/>
          <w:sz w:val="24"/>
        </w:rPr>
        <w:t>and that the article will be published in the </w:t>
      </w:r>
      <w:r>
        <w:rPr>
          <w:rFonts w:ascii="Times New Roman" w:hAnsi="Times New Roman"/>
          <w:b/>
          <w:sz w:val="24"/>
        </w:rPr>
        <w:t>July/August 2019 </w:t>
      </w:r>
      <w:r>
        <w:rPr>
          <w:rFonts w:ascii="Times New Roman" w:hAnsi="Times New Roman"/>
          <w:sz w:val="24"/>
        </w:rPr>
        <w:t>Journal</w:t>
      </w:r>
      <w:r>
        <w:rPr>
          <w:rFonts w:ascii="Times New Roman" w:hAnsi="Times New Roman"/>
          <w:spacing w:val="-36"/>
          <w:sz w:val="24"/>
        </w:rPr>
        <w:t> </w:t>
      </w:r>
      <w:r>
        <w:rPr>
          <w:rFonts w:ascii="Times New Roman" w:hAnsi="Times New Roman"/>
          <w:sz w:val="24"/>
        </w:rPr>
        <w:t>issue.</w:t>
      </w:r>
    </w:p>
    <w:p>
      <w:pPr>
        <w:spacing w:line="240" w:lineRule="auto" w:before="3"/>
        <w:rPr>
          <w:sz w:val="24"/>
        </w:rPr>
      </w:pPr>
    </w:p>
    <w:p>
      <w:pPr>
        <w:pStyle w:val="Heading7"/>
        <w:rPr>
          <w:i/>
        </w:rPr>
      </w:pPr>
      <w:r>
        <w:rPr>
          <w:i/>
        </w:rPr>
        <w:t>Published in Last 12 Months</w:t>
      </w:r>
    </w:p>
    <w:p>
      <w:pPr>
        <w:spacing w:line="240" w:lineRule="auto" w:before="5"/>
        <w:rPr>
          <w:b/>
          <w:i/>
          <w:sz w:val="25"/>
        </w:rPr>
      </w:pPr>
    </w:p>
    <w:p>
      <w:pPr>
        <w:pStyle w:val="ListParagraph"/>
        <w:numPr>
          <w:ilvl w:val="0"/>
          <w:numId w:val="3"/>
        </w:numPr>
        <w:tabs>
          <w:tab w:pos="1440" w:val="left" w:leader="none"/>
        </w:tabs>
        <w:spacing w:line="240" w:lineRule="auto" w:before="0" w:after="0"/>
        <w:ind w:left="1440" w:right="1439" w:hanging="360"/>
        <w:jc w:val="both"/>
        <w:rPr>
          <w:rFonts w:ascii="Times New Roman" w:hAnsi="Times New Roman"/>
          <w:sz w:val="24"/>
        </w:rPr>
      </w:pPr>
      <w:r>
        <w:rPr>
          <w:rFonts w:ascii="Times New Roman" w:hAnsi="Times New Roman"/>
          <w:sz w:val="24"/>
        </w:rPr>
        <w:t>The</w:t>
      </w:r>
      <w:r>
        <w:rPr>
          <w:rFonts w:ascii="Times New Roman" w:hAnsi="Times New Roman"/>
          <w:spacing w:val="-8"/>
          <w:sz w:val="24"/>
        </w:rPr>
        <w:t> </w:t>
      </w:r>
      <w:r>
        <w:rPr>
          <w:rFonts w:ascii="Times New Roman" w:hAnsi="Times New Roman"/>
          <w:sz w:val="24"/>
        </w:rPr>
        <w:t>article</w:t>
      </w:r>
      <w:r>
        <w:rPr>
          <w:rFonts w:ascii="Times New Roman" w:hAnsi="Times New Roman"/>
          <w:spacing w:val="-7"/>
          <w:sz w:val="24"/>
        </w:rPr>
        <w:t> </w:t>
      </w:r>
      <w:r>
        <w:rPr>
          <w:rFonts w:ascii="Times New Roman" w:hAnsi="Times New Roman"/>
          <w:sz w:val="24"/>
        </w:rPr>
        <w:t>“</w:t>
      </w:r>
      <w:r>
        <w:rPr>
          <w:rFonts w:ascii="Times New Roman" w:hAnsi="Times New Roman"/>
          <w:i/>
          <w:sz w:val="24"/>
        </w:rPr>
        <w:t>Are</w:t>
      </w:r>
      <w:r>
        <w:rPr>
          <w:rFonts w:ascii="Times New Roman" w:hAnsi="Times New Roman"/>
          <w:i/>
          <w:spacing w:val="-7"/>
          <w:sz w:val="24"/>
        </w:rPr>
        <w:t> </w:t>
      </w:r>
      <w:r>
        <w:rPr>
          <w:rFonts w:ascii="Times New Roman" w:hAnsi="Times New Roman"/>
          <w:i/>
          <w:sz w:val="24"/>
        </w:rPr>
        <w:t>Arbitration</w:t>
      </w:r>
      <w:r>
        <w:rPr>
          <w:rFonts w:ascii="Times New Roman" w:hAnsi="Times New Roman"/>
          <w:i/>
          <w:spacing w:val="-7"/>
          <w:sz w:val="24"/>
        </w:rPr>
        <w:t> </w:t>
      </w:r>
      <w:r>
        <w:rPr>
          <w:rFonts w:ascii="Times New Roman" w:hAnsi="Times New Roman"/>
          <w:i/>
          <w:sz w:val="24"/>
        </w:rPr>
        <w:t>Agreements</w:t>
      </w:r>
      <w:r>
        <w:rPr>
          <w:rFonts w:ascii="Times New Roman" w:hAnsi="Times New Roman"/>
          <w:i/>
          <w:spacing w:val="-6"/>
          <w:sz w:val="24"/>
        </w:rPr>
        <w:t> </w:t>
      </w:r>
      <w:r>
        <w:rPr>
          <w:rFonts w:ascii="Times New Roman" w:hAnsi="Times New Roman"/>
          <w:i/>
          <w:sz w:val="24"/>
        </w:rPr>
        <w:t>Necessary</w:t>
      </w:r>
      <w:r>
        <w:rPr>
          <w:rFonts w:ascii="Times New Roman" w:hAnsi="Times New Roman"/>
          <w:i/>
          <w:spacing w:val="-7"/>
          <w:sz w:val="24"/>
        </w:rPr>
        <w:t> </w:t>
      </w:r>
      <w:r>
        <w:rPr>
          <w:rFonts w:ascii="Times New Roman" w:hAnsi="Times New Roman"/>
          <w:i/>
          <w:sz w:val="24"/>
        </w:rPr>
        <w:t>for</w:t>
      </w:r>
      <w:r>
        <w:rPr>
          <w:rFonts w:ascii="Times New Roman" w:hAnsi="Times New Roman"/>
          <w:i/>
          <w:spacing w:val="-6"/>
          <w:sz w:val="24"/>
        </w:rPr>
        <w:t> </w:t>
      </w:r>
      <w:r>
        <w:rPr>
          <w:rFonts w:ascii="Times New Roman" w:hAnsi="Times New Roman"/>
          <w:i/>
          <w:sz w:val="24"/>
        </w:rPr>
        <w:t>Class-Action</w:t>
      </w:r>
      <w:r>
        <w:rPr>
          <w:rFonts w:ascii="Times New Roman" w:hAnsi="Times New Roman"/>
          <w:i/>
          <w:spacing w:val="-5"/>
          <w:sz w:val="24"/>
        </w:rPr>
        <w:t> </w:t>
      </w:r>
      <w:r>
        <w:rPr>
          <w:rFonts w:ascii="Times New Roman" w:hAnsi="Times New Roman"/>
          <w:i/>
          <w:sz w:val="24"/>
        </w:rPr>
        <w:t>Waivers</w:t>
      </w:r>
      <w:r>
        <w:rPr>
          <w:rFonts w:ascii="Times New Roman" w:hAnsi="Times New Roman"/>
          <w:i/>
          <w:spacing w:val="-6"/>
          <w:sz w:val="24"/>
        </w:rPr>
        <w:t> </w:t>
      </w:r>
      <w:r>
        <w:rPr>
          <w:rFonts w:ascii="Times New Roman" w:hAnsi="Times New Roman"/>
          <w:i/>
          <w:sz w:val="24"/>
        </w:rPr>
        <w:t>to</w:t>
      </w:r>
      <w:r>
        <w:rPr>
          <w:rFonts w:ascii="Times New Roman" w:hAnsi="Times New Roman"/>
          <w:i/>
          <w:spacing w:val="-6"/>
          <w:sz w:val="24"/>
        </w:rPr>
        <w:t> </w:t>
      </w:r>
      <w:r>
        <w:rPr>
          <w:rFonts w:ascii="Times New Roman" w:hAnsi="Times New Roman"/>
          <w:i/>
          <w:sz w:val="24"/>
        </w:rPr>
        <w:t>be</w:t>
      </w:r>
      <w:r>
        <w:rPr>
          <w:rFonts w:ascii="Times New Roman" w:hAnsi="Times New Roman"/>
          <w:i/>
          <w:spacing w:val="-7"/>
          <w:sz w:val="24"/>
        </w:rPr>
        <w:t> </w:t>
      </w:r>
      <w:r>
        <w:rPr>
          <w:rFonts w:ascii="Times New Roman" w:hAnsi="Times New Roman"/>
          <w:i/>
          <w:sz w:val="24"/>
        </w:rPr>
        <w:t>Enforceable?</w:t>
      </w:r>
      <w:r>
        <w:rPr>
          <w:rFonts w:ascii="Times New Roman" w:hAnsi="Times New Roman"/>
          <w:sz w:val="24"/>
        </w:rPr>
        <w:t>” by author Jackie Prats was published in the in the </w:t>
      </w:r>
      <w:r>
        <w:rPr>
          <w:rFonts w:ascii="Times New Roman" w:hAnsi="Times New Roman"/>
          <w:b/>
          <w:sz w:val="24"/>
        </w:rPr>
        <w:t>November/December 2018 </w:t>
      </w:r>
      <w:r>
        <w:rPr>
          <w:rFonts w:ascii="Times New Roman" w:hAnsi="Times New Roman"/>
          <w:sz w:val="24"/>
        </w:rPr>
        <w:t>Journal</w:t>
      </w:r>
      <w:r>
        <w:rPr>
          <w:rFonts w:ascii="Times New Roman" w:hAnsi="Times New Roman"/>
          <w:spacing w:val="-14"/>
          <w:sz w:val="24"/>
        </w:rPr>
        <w:t> </w:t>
      </w:r>
      <w:r>
        <w:rPr>
          <w:rFonts w:ascii="Times New Roman" w:hAnsi="Times New Roman"/>
          <w:sz w:val="24"/>
        </w:rPr>
        <w:t>issue.</w:t>
      </w:r>
    </w:p>
    <w:p>
      <w:pPr>
        <w:spacing w:line="240" w:lineRule="auto" w:before="7"/>
        <w:rPr>
          <w:sz w:val="25"/>
        </w:rPr>
      </w:pPr>
    </w:p>
    <w:p>
      <w:pPr>
        <w:pStyle w:val="ListParagraph"/>
        <w:numPr>
          <w:ilvl w:val="0"/>
          <w:numId w:val="3"/>
        </w:numPr>
        <w:tabs>
          <w:tab w:pos="1491" w:val="left" w:leader="none"/>
        </w:tabs>
        <w:spacing w:line="240" w:lineRule="auto" w:before="0" w:after="0"/>
        <w:ind w:left="1440" w:right="1438" w:hanging="360"/>
        <w:jc w:val="both"/>
        <w:rPr>
          <w:rFonts w:ascii="Times New Roman" w:hAnsi="Times New Roman"/>
          <w:sz w:val="24"/>
        </w:rPr>
      </w:pPr>
      <w:r>
        <w:rPr/>
        <w:tab/>
      </w:r>
      <w:r>
        <w:rPr>
          <w:rFonts w:ascii="Times New Roman" w:hAnsi="Times New Roman"/>
          <w:sz w:val="24"/>
        </w:rPr>
        <w:t>The article “</w:t>
      </w:r>
      <w:r>
        <w:rPr>
          <w:rFonts w:ascii="Times New Roman" w:hAnsi="Times New Roman"/>
          <w:i/>
          <w:sz w:val="24"/>
        </w:rPr>
        <w:t>Jilt by Association: Adverse Employment Actions Based on Associational Disability </w:t>
      </w:r>
      <w:r>
        <w:rPr>
          <w:rFonts w:ascii="Times New Roman" w:hAnsi="Times New Roman"/>
          <w:i/>
          <w:sz w:val="24"/>
        </w:rPr>
        <w:t>Discrimination</w:t>
      </w:r>
      <w:r>
        <w:rPr>
          <w:rFonts w:ascii="Times New Roman" w:hAnsi="Times New Roman"/>
          <w:sz w:val="24"/>
        </w:rPr>
        <w:t>”</w:t>
      </w:r>
      <w:r>
        <w:rPr>
          <w:rFonts w:ascii="Times New Roman" w:hAnsi="Times New Roman"/>
          <w:spacing w:val="-6"/>
          <w:sz w:val="24"/>
        </w:rPr>
        <w:t> </w:t>
      </w:r>
      <w:r>
        <w:rPr>
          <w:rFonts w:ascii="Times New Roman" w:hAnsi="Times New Roman"/>
          <w:sz w:val="24"/>
        </w:rPr>
        <w:t>by</w:t>
      </w:r>
      <w:r>
        <w:rPr>
          <w:rFonts w:ascii="Times New Roman" w:hAnsi="Times New Roman"/>
          <w:spacing w:val="-9"/>
          <w:sz w:val="24"/>
        </w:rPr>
        <w:t> </w:t>
      </w:r>
      <w:r>
        <w:rPr>
          <w:rFonts w:ascii="Times New Roman" w:hAnsi="Times New Roman"/>
          <w:sz w:val="24"/>
        </w:rPr>
        <w:t>author</w:t>
      </w:r>
      <w:r>
        <w:rPr>
          <w:rFonts w:ascii="Times New Roman" w:hAnsi="Times New Roman"/>
          <w:spacing w:val="-5"/>
          <w:sz w:val="24"/>
        </w:rPr>
        <w:t> </w:t>
      </w:r>
      <w:r>
        <w:rPr>
          <w:rFonts w:ascii="Times New Roman" w:hAnsi="Times New Roman"/>
          <w:sz w:val="24"/>
        </w:rPr>
        <w:t>Alicia</w:t>
      </w:r>
      <w:r>
        <w:rPr>
          <w:rFonts w:ascii="Times New Roman" w:hAnsi="Times New Roman"/>
          <w:spacing w:val="-6"/>
          <w:sz w:val="24"/>
        </w:rPr>
        <w:t> </w:t>
      </w:r>
      <w:r>
        <w:rPr>
          <w:rFonts w:ascii="Times New Roman" w:hAnsi="Times New Roman"/>
          <w:sz w:val="24"/>
        </w:rPr>
        <w:t>Koepke</w:t>
      </w:r>
      <w:r>
        <w:rPr>
          <w:rFonts w:ascii="Times New Roman" w:hAnsi="Times New Roman"/>
          <w:spacing w:val="-5"/>
          <w:sz w:val="24"/>
        </w:rPr>
        <w:t> </w:t>
      </w:r>
      <w:r>
        <w:rPr>
          <w:rFonts w:ascii="Times New Roman" w:hAnsi="Times New Roman"/>
          <w:sz w:val="24"/>
        </w:rPr>
        <w:t>was</w:t>
      </w:r>
      <w:r>
        <w:rPr>
          <w:rFonts w:ascii="Times New Roman" w:hAnsi="Times New Roman"/>
          <w:spacing w:val="-4"/>
          <w:sz w:val="24"/>
        </w:rPr>
        <w:t> </w:t>
      </w:r>
      <w:r>
        <w:rPr>
          <w:rFonts w:ascii="Times New Roman" w:hAnsi="Times New Roman"/>
          <w:sz w:val="24"/>
        </w:rPr>
        <w:t>published</w:t>
      </w:r>
      <w:r>
        <w:rPr>
          <w:rFonts w:ascii="Times New Roman" w:hAnsi="Times New Roman"/>
          <w:spacing w:val="-5"/>
          <w:sz w:val="24"/>
        </w:rPr>
        <w:t> </w:t>
      </w:r>
      <w:r>
        <w:rPr>
          <w:rFonts w:ascii="Times New Roman" w:hAnsi="Times New Roman"/>
          <w:sz w:val="24"/>
        </w:rPr>
        <w:t>in</w:t>
      </w:r>
      <w:r>
        <w:rPr>
          <w:rFonts w:ascii="Times New Roman" w:hAnsi="Times New Roman"/>
          <w:spacing w:val="-4"/>
          <w:sz w:val="24"/>
        </w:rPr>
        <w:t> </w:t>
      </w:r>
      <w:r>
        <w:rPr>
          <w:rFonts w:ascii="Times New Roman" w:hAnsi="Times New Roman"/>
          <w:sz w:val="24"/>
        </w:rPr>
        <w:t>the</w:t>
      </w:r>
      <w:r>
        <w:rPr>
          <w:rFonts w:ascii="Times New Roman" w:hAnsi="Times New Roman"/>
          <w:spacing w:val="-6"/>
          <w:sz w:val="24"/>
        </w:rPr>
        <w:t> </w:t>
      </w:r>
      <w:r>
        <w:rPr>
          <w:rFonts w:ascii="Times New Roman" w:hAnsi="Times New Roman"/>
          <w:b/>
          <w:sz w:val="24"/>
        </w:rPr>
        <w:t>September/October</w:t>
      </w:r>
      <w:r>
        <w:rPr>
          <w:rFonts w:ascii="Times New Roman" w:hAnsi="Times New Roman"/>
          <w:b/>
          <w:spacing w:val="-5"/>
          <w:sz w:val="24"/>
        </w:rPr>
        <w:t> </w:t>
      </w:r>
      <w:r>
        <w:rPr>
          <w:rFonts w:ascii="Times New Roman" w:hAnsi="Times New Roman"/>
          <w:b/>
          <w:sz w:val="24"/>
        </w:rPr>
        <w:t>2018</w:t>
      </w:r>
      <w:r>
        <w:rPr>
          <w:rFonts w:ascii="Times New Roman" w:hAnsi="Times New Roman"/>
          <w:b/>
          <w:spacing w:val="-4"/>
          <w:sz w:val="24"/>
        </w:rPr>
        <w:t> </w:t>
      </w:r>
      <w:r>
        <w:rPr>
          <w:rFonts w:ascii="Times New Roman" w:hAnsi="Times New Roman"/>
          <w:sz w:val="24"/>
        </w:rPr>
        <w:t>Journal issue.</w:t>
      </w:r>
    </w:p>
    <w:p>
      <w:pPr>
        <w:spacing w:line="240" w:lineRule="auto" w:before="10"/>
        <w:rPr>
          <w:sz w:val="23"/>
        </w:rPr>
      </w:pPr>
    </w:p>
    <w:p>
      <w:pPr>
        <w:pStyle w:val="ListParagraph"/>
        <w:numPr>
          <w:ilvl w:val="0"/>
          <w:numId w:val="3"/>
        </w:numPr>
        <w:tabs>
          <w:tab w:pos="1440" w:val="left" w:leader="none"/>
        </w:tabs>
        <w:spacing w:line="240" w:lineRule="auto" w:before="0" w:after="0"/>
        <w:ind w:left="1440" w:right="1438" w:hanging="360"/>
        <w:jc w:val="both"/>
        <w:rPr>
          <w:rFonts w:ascii="Times New Roman" w:hAnsi="Times New Roman"/>
          <w:sz w:val="24"/>
        </w:rPr>
      </w:pPr>
      <w:r>
        <w:rPr>
          <w:rFonts w:ascii="Times New Roman" w:hAnsi="Times New Roman"/>
          <w:sz w:val="24"/>
        </w:rPr>
        <w:t>The article “</w:t>
      </w:r>
      <w:r>
        <w:rPr>
          <w:rFonts w:ascii="Times New Roman" w:hAnsi="Times New Roman"/>
          <w:i/>
          <w:sz w:val="24"/>
        </w:rPr>
        <w:t>Mistakes Were Made: How Small Businesses Commonly Get Into Trouble With the </w:t>
      </w:r>
      <w:r>
        <w:rPr>
          <w:rFonts w:ascii="Times New Roman" w:hAnsi="Times New Roman"/>
          <w:i/>
          <w:sz w:val="24"/>
        </w:rPr>
        <w:t>Fair Labor Standards Act</w:t>
      </w:r>
      <w:r>
        <w:rPr>
          <w:rFonts w:ascii="Times New Roman" w:hAnsi="Times New Roman"/>
          <w:sz w:val="24"/>
        </w:rPr>
        <w:t>” by author Hunter Chamberlin was published in the </w:t>
      </w:r>
      <w:r>
        <w:rPr>
          <w:rFonts w:ascii="Times New Roman" w:hAnsi="Times New Roman"/>
          <w:b/>
          <w:sz w:val="24"/>
        </w:rPr>
        <w:t>May 2018 </w:t>
      </w:r>
      <w:r>
        <w:rPr>
          <w:rFonts w:ascii="Times New Roman" w:hAnsi="Times New Roman"/>
          <w:sz w:val="24"/>
        </w:rPr>
        <w:t>Journal issue.</w:t>
      </w:r>
    </w:p>
    <w:p>
      <w:pPr>
        <w:spacing w:line="240" w:lineRule="auto" w:before="10"/>
        <w:rPr>
          <w:sz w:val="23"/>
        </w:rPr>
      </w:pPr>
    </w:p>
    <w:p>
      <w:pPr>
        <w:pStyle w:val="ListParagraph"/>
        <w:numPr>
          <w:ilvl w:val="0"/>
          <w:numId w:val="3"/>
        </w:numPr>
        <w:tabs>
          <w:tab w:pos="1440" w:val="left" w:leader="none"/>
        </w:tabs>
        <w:spacing w:line="240" w:lineRule="auto" w:before="1" w:after="0"/>
        <w:ind w:left="1440" w:right="1438" w:hanging="360"/>
        <w:jc w:val="both"/>
        <w:rPr>
          <w:rFonts w:ascii="Times New Roman" w:hAnsi="Times New Roman"/>
          <w:sz w:val="24"/>
        </w:rPr>
      </w:pPr>
      <w:r>
        <w:rPr>
          <w:rFonts w:ascii="Times New Roman" w:hAnsi="Times New Roman"/>
          <w:sz w:val="24"/>
        </w:rPr>
        <w:t>The article “</w:t>
      </w:r>
      <w:r>
        <w:rPr>
          <w:rFonts w:ascii="Times New Roman" w:hAnsi="Times New Roman"/>
          <w:i/>
          <w:sz w:val="24"/>
        </w:rPr>
        <w:t>Focusing the Lens of Justice: The Implementation of Police Body Cameras is a </w:t>
      </w:r>
      <w:r>
        <w:rPr>
          <w:rFonts w:ascii="Times New Roman" w:hAnsi="Times New Roman"/>
          <w:i/>
          <w:sz w:val="24"/>
        </w:rPr>
        <w:t>Management Right, Not a Mandatory Subject of Collective Bargaining</w:t>
      </w:r>
      <w:r>
        <w:rPr>
          <w:rFonts w:ascii="Times New Roman" w:hAnsi="Times New Roman"/>
          <w:sz w:val="24"/>
        </w:rPr>
        <w:t>” by author Stephen Meck was published in the </w:t>
      </w:r>
      <w:r>
        <w:rPr>
          <w:rFonts w:ascii="Times New Roman" w:hAnsi="Times New Roman"/>
          <w:b/>
          <w:sz w:val="24"/>
        </w:rPr>
        <w:t>April 2018 </w:t>
      </w:r>
      <w:r>
        <w:rPr>
          <w:rFonts w:ascii="Times New Roman" w:hAnsi="Times New Roman"/>
          <w:sz w:val="24"/>
        </w:rPr>
        <w:t>Journal</w:t>
      </w:r>
      <w:r>
        <w:rPr>
          <w:rFonts w:ascii="Times New Roman" w:hAnsi="Times New Roman"/>
          <w:spacing w:val="-2"/>
          <w:sz w:val="24"/>
        </w:rPr>
        <w:t> </w:t>
      </w:r>
      <w:r>
        <w:rPr>
          <w:rFonts w:ascii="Times New Roman" w:hAnsi="Times New Roman"/>
          <w:sz w:val="24"/>
        </w:rPr>
        <w:t>issue.</w:t>
      </w:r>
    </w:p>
    <w:p>
      <w:pPr>
        <w:spacing w:after="0" w:line="240" w:lineRule="auto"/>
        <w:jc w:val="both"/>
        <w:rPr>
          <w:rFonts w:ascii="Times New Roman" w:hAnsi="Times New Roman"/>
          <w:sz w:val="24"/>
        </w:rPr>
        <w:sectPr>
          <w:footerReference w:type="default" r:id="rId18"/>
          <w:pgSz w:w="12240" w:h="15840"/>
          <w:pgMar w:footer="523" w:header="0" w:top="1360" w:bottom="720" w:left="0" w:right="0"/>
        </w:sectPr>
      </w:pPr>
    </w:p>
    <w:p>
      <w:pPr>
        <w:pStyle w:val="ListParagraph"/>
        <w:numPr>
          <w:ilvl w:val="0"/>
          <w:numId w:val="3"/>
        </w:numPr>
        <w:tabs>
          <w:tab w:pos="1490" w:val="left" w:leader="none"/>
          <w:tab w:pos="1491" w:val="left" w:leader="none"/>
        </w:tabs>
        <w:spacing w:line="294" w:lineRule="exact" w:before="81" w:after="0"/>
        <w:ind w:left="1490" w:right="0" w:hanging="411"/>
        <w:jc w:val="left"/>
        <w:rPr>
          <w:rFonts w:ascii="Times New Roman" w:hAnsi="Times New Roman"/>
          <w:sz w:val="24"/>
        </w:rPr>
      </w:pPr>
      <w:r>
        <w:rPr>
          <w:rFonts w:ascii="Times New Roman" w:hAnsi="Times New Roman"/>
          <w:sz w:val="24"/>
        </w:rPr>
        <w:t>The</w:t>
      </w:r>
      <w:r>
        <w:rPr>
          <w:rFonts w:ascii="Times New Roman" w:hAnsi="Times New Roman"/>
          <w:spacing w:val="-17"/>
          <w:sz w:val="24"/>
        </w:rPr>
        <w:t> </w:t>
      </w:r>
      <w:r>
        <w:rPr>
          <w:rFonts w:ascii="Times New Roman" w:hAnsi="Times New Roman"/>
          <w:sz w:val="24"/>
        </w:rPr>
        <w:t>article</w:t>
      </w:r>
      <w:r>
        <w:rPr>
          <w:rFonts w:ascii="Times New Roman" w:hAnsi="Times New Roman"/>
          <w:spacing w:val="-16"/>
          <w:sz w:val="24"/>
        </w:rPr>
        <w:t> </w:t>
      </w:r>
      <w:r>
        <w:rPr>
          <w:rFonts w:ascii="Times New Roman" w:hAnsi="Times New Roman"/>
          <w:sz w:val="24"/>
        </w:rPr>
        <w:t>“</w:t>
      </w:r>
      <w:r>
        <w:rPr>
          <w:rFonts w:ascii="Times New Roman" w:hAnsi="Times New Roman"/>
          <w:i/>
          <w:sz w:val="24"/>
        </w:rPr>
        <w:t>LGBT</w:t>
      </w:r>
      <w:r>
        <w:rPr>
          <w:rFonts w:ascii="Times New Roman" w:hAnsi="Times New Roman"/>
          <w:i/>
          <w:spacing w:val="-15"/>
          <w:sz w:val="24"/>
        </w:rPr>
        <w:t> </w:t>
      </w:r>
      <w:r>
        <w:rPr>
          <w:rFonts w:ascii="Times New Roman" w:hAnsi="Times New Roman"/>
          <w:i/>
          <w:sz w:val="24"/>
        </w:rPr>
        <w:t>Discrimination</w:t>
      </w:r>
      <w:r>
        <w:rPr>
          <w:rFonts w:ascii="Times New Roman" w:hAnsi="Times New Roman"/>
          <w:i/>
          <w:spacing w:val="-15"/>
          <w:sz w:val="24"/>
        </w:rPr>
        <w:t> </w:t>
      </w:r>
      <w:r>
        <w:rPr>
          <w:rFonts w:ascii="Times New Roman" w:hAnsi="Times New Roman"/>
          <w:i/>
          <w:sz w:val="24"/>
        </w:rPr>
        <w:t>in</w:t>
      </w:r>
      <w:r>
        <w:rPr>
          <w:rFonts w:ascii="Times New Roman" w:hAnsi="Times New Roman"/>
          <w:i/>
          <w:spacing w:val="-15"/>
          <w:sz w:val="24"/>
        </w:rPr>
        <w:t> </w:t>
      </w:r>
      <w:r>
        <w:rPr>
          <w:rFonts w:ascii="Times New Roman" w:hAnsi="Times New Roman"/>
          <w:i/>
          <w:sz w:val="24"/>
        </w:rPr>
        <w:t>the</w:t>
      </w:r>
      <w:r>
        <w:rPr>
          <w:rFonts w:ascii="Times New Roman" w:hAnsi="Times New Roman"/>
          <w:i/>
          <w:spacing w:val="-14"/>
          <w:sz w:val="24"/>
        </w:rPr>
        <w:t> </w:t>
      </w:r>
      <w:r>
        <w:rPr>
          <w:rFonts w:ascii="Times New Roman" w:hAnsi="Times New Roman"/>
          <w:i/>
          <w:sz w:val="24"/>
        </w:rPr>
        <w:t>Workplace:</w:t>
      </w:r>
      <w:r>
        <w:rPr>
          <w:rFonts w:ascii="Times New Roman" w:hAnsi="Times New Roman"/>
          <w:i/>
          <w:spacing w:val="-13"/>
          <w:sz w:val="24"/>
        </w:rPr>
        <w:t> </w:t>
      </w:r>
      <w:r>
        <w:rPr>
          <w:rFonts w:ascii="Times New Roman" w:hAnsi="Times New Roman"/>
          <w:i/>
          <w:sz w:val="24"/>
        </w:rPr>
        <w:t>What</w:t>
      </w:r>
      <w:r>
        <w:rPr>
          <w:rFonts w:ascii="Times New Roman" w:hAnsi="Times New Roman"/>
          <w:i/>
          <w:spacing w:val="-11"/>
          <w:sz w:val="24"/>
        </w:rPr>
        <w:t> </w:t>
      </w:r>
      <w:r>
        <w:rPr>
          <w:rFonts w:ascii="Times New Roman" w:hAnsi="Times New Roman"/>
          <w:i/>
          <w:sz w:val="24"/>
        </w:rPr>
        <w:t>Will</w:t>
      </w:r>
      <w:r>
        <w:rPr>
          <w:rFonts w:ascii="Times New Roman" w:hAnsi="Times New Roman"/>
          <w:i/>
          <w:spacing w:val="-14"/>
          <w:sz w:val="24"/>
        </w:rPr>
        <w:t> </w:t>
      </w:r>
      <w:r>
        <w:rPr>
          <w:rFonts w:ascii="Times New Roman" w:hAnsi="Times New Roman"/>
          <w:i/>
          <w:sz w:val="24"/>
        </w:rPr>
        <w:t>the</w:t>
      </w:r>
      <w:r>
        <w:rPr>
          <w:rFonts w:ascii="Times New Roman" w:hAnsi="Times New Roman"/>
          <w:i/>
          <w:spacing w:val="-14"/>
          <w:sz w:val="24"/>
        </w:rPr>
        <w:t> </w:t>
      </w:r>
      <w:r>
        <w:rPr>
          <w:rFonts w:ascii="Times New Roman" w:hAnsi="Times New Roman"/>
          <w:i/>
          <w:sz w:val="24"/>
        </w:rPr>
        <w:t>Future</w:t>
      </w:r>
      <w:r>
        <w:rPr>
          <w:rFonts w:ascii="Times New Roman" w:hAnsi="Times New Roman"/>
          <w:i/>
          <w:spacing w:val="-16"/>
          <w:sz w:val="24"/>
        </w:rPr>
        <w:t> </w:t>
      </w:r>
      <w:r>
        <w:rPr>
          <w:rFonts w:ascii="Times New Roman" w:hAnsi="Times New Roman"/>
          <w:i/>
          <w:sz w:val="24"/>
        </w:rPr>
        <w:t>Hold?</w:t>
      </w:r>
      <w:r>
        <w:rPr>
          <w:rFonts w:ascii="Times New Roman" w:hAnsi="Times New Roman"/>
          <w:sz w:val="24"/>
        </w:rPr>
        <w:t>”</w:t>
      </w:r>
      <w:r>
        <w:rPr>
          <w:rFonts w:ascii="Times New Roman" w:hAnsi="Times New Roman"/>
          <w:spacing w:val="-16"/>
          <w:sz w:val="24"/>
        </w:rPr>
        <w:t> </w:t>
      </w:r>
      <w:r>
        <w:rPr>
          <w:rFonts w:ascii="Times New Roman" w:hAnsi="Times New Roman"/>
          <w:sz w:val="24"/>
        </w:rPr>
        <w:t>by</w:t>
      </w:r>
      <w:r>
        <w:rPr>
          <w:rFonts w:ascii="Times New Roman" w:hAnsi="Times New Roman"/>
          <w:spacing w:val="-18"/>
          <w:sz w:val="24"/>
        </w:rPr>
        <w:t> </w:t>
      </w:r>
      <w:r>
        <w:rPr>
          <w:rFonts w:ascii="Times New Roman" w:hAnsi="Times New Roman"/>
          <w:sz w:val="24"/>
        </w:rPr>
        <w:t>author</w:t>
      </w:r>
      <w:r>
        <w:rPr>
          <w:rFonts w:ascii="Times New Roman" w:hAnsi="Times New Roman"/>
          <w:spacing w:val="-16"/>
          <w:sz w:val="24"/>
        </w:rPr>
        <w:t> </w:t>
      </w:r>
      <w:r>
        <w:rPr>
          <w:rFonts w:ascii="Times New Roman" w:hAnsi="Times New Roman"/>
          <w:sz w:val="24"/>
        </w:rPr>
        <w:t>Kelly</w:t>
      </w:r>
    </w:p>
    <w:p>
      <w:pPr>
        <w:spacing w:line="276" w:lineRule="exact" w:before="0"/>
        <w:ind w:left="1440" w:right="0" w:firstLine="0"/>
        <w:jc w:val="left"/>
        <w:rPr>
          <w:sz w:val="24"/>
        </w:rPr>
      </w:pPr>
      <w:r>
        <w:rPr>
          <w:sz w:val="24"/>
        </w:rPr>
        <w:t>M. Pena was published in the </w:t>
      </w:r>
      <w:r>
        <w:rPr>
          <w:b/>
          <w:sz w:val="24"/>
        </w:rPr>
        <w:t>January 2018 </w:t>
      </w:r>
      <w:r>
        <w:rPr>
          <w:sz w:val="24"/>
        </w:rPr>
        <w:t>Journal issue.</w:t>
      </w:r>
    </w:p>
    <w:p>
      <w:pPr>
        <w:spacing w:line="240" w:lineRule="auto" w:before="9"/>
        <w:rPr>
          <w:sz w:val="23"/>
        </w:rPr>
      </w:pPr>
    </w:p>
    <w:p>
      <w:pPr>
        <w:pStyle w:val="BodyText"/>
        <w:ind w:left="1440" w:right="1438"/>
        <w:jc w:val="both"/>
        <w:rPr>
          <w:rFonts w:ascii="Times New Roman"/>
        </w:rPr>
      </w:pPr>
      <w:r>
        <w:rPr>
          <w:rFonts w:ascii="Times New Roman"/>
        </w:rPr>
        <w:t>As always, I appreciate the helpfulness of the members of the Executive Council and Section overall in submitting article ideas and referring aspiring authors to me. Please let me know if you have any questions associated with my report.</w:t>
      </w:r>
    </w:p>
    <w:p>
      <w:pPr>
        <w:spacing w:line="240" w:lineRule="auto" w:before="0"/>
        <w:rPr>
          <w:sz w:val="24"/>
        </w:rPr>
      </w:pPr>
    </w:p>
    <w:p>
      <w:pPr>
        <w:pStyle w:val="BodyText"/>
        <w:ind w:left="1440"/>
        <w:rPr>
          <w:rFonts w:ascii="Times New Roman"/>
        </w:rPr>
      </w:pPr>
      <w:r>
        <w:rPr>
          <w:rFonts w:ascii="Times New Roman"/>
        </w:rPr>
        <w:t>Regards,</w:t>
      </w:r>
    </w:p>
    <w:p>
      <w:pPr>
        <w:pStyle w:val="BodyText"/>
        <w:ind w:left="1440"/>
        <w:rPr>
          <w:rFonts w:ascii="Times New Roman"/>
        </w:rPr>
      </w:pPr>
      <w:r>
        <w:rPr>
          <w:rFonts w:ascii="Times New Roman"/>
        </w:rPr>
        <w:t>Robert Eschenfelder</w:t>
      </w:r>
    </w:p>
    <w:p>
      <w:pPr>
        <w:pStyle w:val="BodyText"/>
        <w:ind w:left="1440" w:right="5554"/>
        <w:rPr>
          <w:rFonts w:ascii="Times New Roman"/>
        </w:rPr>
      </w:pPr>
      <w:r>
        <w:rPr>
          <w:rFonts w:ascii="Times New Roman"/>
        </w:rPr>
        <w:t>Labor &amp; Employment Law Section Executive Council Bar Journal Articles Editor</w:t>
      </w:r>
    </w:p>
    <w:p>
      <w:pPr>
        <w:spacing w:after="0"/>
        <w:rPr>
          <w:rFonts w:ascii="Times New Roman"/>
        </w:rPr>
        <w:sectPr>
          <w:footerReference w:type="default" r:id="rId19"/>
          <w:pgSz w:w="12240" w:h="15840"/>
          <w:pgMar w:footer="523" w:header="0" w:top="1360" w:bottom="720" w:left="0" w:right="0"/>
        </w:sectPr>
      </w:pPr>
    </w:p>
    <w:p>
      <w:pPr>
        <w:spacing w:before="80"/>
        <w:ind w:left="3286" w:right="3286" w:firstLine="0"/>
        <w:jc w:val="center"/>
        <w:rPr>
          <w:rFonts w:ascii="Tahoma"/>
          <w:b/>
          <w:sz w:val="24"/>
        </w:rPr>
      </w:pPr>
      <w:bookmarkStart w:name="7 - Exhibit E - Special Committee on Cer" w:id="22"/>
      <w:bookmarkEnd w:id="22"/>
      <w:r>
        <w:rPr/>
      </w:r>
      <w:bookmarkStart w:name="Memo re Special Committee on Certificati" w:id="23"/>
      <w:bookmarkEnd w:id="23"/>
      <w:r>
        <w:rPr/>
      </w:r>
      <w:r>
        <w:rPr>
          <w:rFonts w:ascii="Tahoma"/>
          <w:b/>
          <w:sz w:val="24"/>
          <w:u w:val="thick"/>
        </w:rPr>
        <w:t>MEMORANDUM</w:t>
      </w:r>
    </w:p>
    <w:p>
      <w:pPr>
        <w:pStyle w:val="BodyText"/>
        <w:rPr>
          <w:rFonts w:ascii="Tahoma"/>
          <w:b/>
          <w:sz w:val="20"/>
        </w:rPr>
      </w:pPr>
    </w:p>
    <w:p>
      <w:pPr>
        <w:pStyle w:val="BodyText"/>
        <w:rPr>
          <w:rFonts w:ascii="Tahoma"/>
          <w:b/>
          <w:sz w:val="26"/>
        </w:rPr>
      </w:pPr>
    </w:p>
    <w:p>
      <w:pPr>
        <w:pStyle w:val="BodyText"/>
        <w:tabs>
          <w:tab w:pos="2339" w:val="left" w:leader="none"/>
        </w:tabs>
        <w:spacing w:before="100"/>
        <w:ind w:left="1440"/>
        <w:rPr>
          <w:rFonts w:ascii="Tahoma"/>
        </w:rPr>
      </w:pPr>
      <w:r>
        <w:rPr>
          <w:rFonts w:ascii="Tahoma"/>
          <w:b/>
        </w:rPr>
        <w:t>To:</w:t>
        <w:tab/>
      </w:r>
      <w:r>
        <w:rPr>
          <w:rFonts w:ascii="Tahoma"/>
        </w:rPr>
        <w:t>Section Executive</w:t>
      </w:r>
      <w:r>
        <w:rPr>
          <w:rFonts w:ascii="Tahoma"/>
          <w:spacing w:val="-2"/>
        </w:rPr>
        <w:t> </w:t>
      </w:r>
      <w:r>
        <w:rPr>
          <w:rFonts w:ascii="Tahoma"/>
        </w:rPr>
        <w:t>Council</w:t>
      </w:r>
    </w:p>
    <w:p>
      <w:pPr>
        <w:spacing w:before="183"/>
        <w:ind w:left="1440" w:right="0" w:firstLine="0"/>
        <w:jc w:val="left"/>
        <w:rPr>
          <w:rFonts w:ascii="Tahoma"/>
          <w:sz w:val="24"/>
        </w:rPr>
      </w:pPr>
      <w:r>
        <w:rPr>
          <w:rFonts w:ascii="Tahoma"/>
          <w:b/>
          <w:sz w:val="24"/>
        </w:rPr>
        <w:t>From: </w:t>
      </w:r>
      <w:r>
        <w:rPr>
          <w:rFonts w:ascii="Tahoma"/>
          <w:sz w:val="24"/>
        </w:rPr>
        <w:t>Frank Brown</w:t>
      </w:r>
    </w:p>
    <w:p>
      <w:pPr>
        <w:pStyle w:val="BodyText"/>
        <w:tabs>
          <w:tab w:pos="2339" w:val="left" w:leader="none"/>
        </w:tabs>
        <w:spacing w:line="259" w:lineRule="auto" w:before="183"/>
        <w:ind w:left="2340" w:right="1828" w:hanging="900"/>
        <w:rPr>
          <w:rFonts w:ascii="Tahoma"/>
        </w:rPr>
      </w:pPr>
      <w:r>
        <w:rPr>
          <w:rFonts w:ascii="Tahoma"/>
          <w:b/>
        </w:rPr>
        <w:t>CC:</w:t>
        <w:tab/>
      </w:r>
      <w:r>
        <w:rPr>
          <w:rFonts w:ascii="Tahoma"/>
        </w:rPr>
        <w:t>Chair Cathleen Scott, Ryan Barack, Robyn Hankins, Jennifer</w:t>
      </w:r>
      <w:r>
        <w:rPr>
          <w:rFonts w:ascii="Tahoma"/>
          <w:spacing w:val="-38"/>
        </w:rPr>
        <w:t> </w:t>
      </w:r>
      <w:r>
        <w:rPr>
          <w:rFonts w:ascii="Tahoma"/>
        </w:rPr>
        <w:t>Fowler-Hermes, Shane</w:t>
      </w:r>
      <w:r>
        <w:rPr>
          <w:rFonts w:ascii="Tahoma"/>
          <w:spacing w:val="-1"/>
        </w:rPr>
        <w:t> </w:t>
      </w:r>
      <w:r>
        <w:rPr>
          <w:rFonts w:ascii="Tahoma"/>
        </w:rPr>
        <w:t>Munoz</w:t>
      </w:r>
    </w:p>
    <w:p>
      <w:pPr>
        <w:pStyle w:val="BodyText"/>
        <w:tabs>
          <w:tab w:pos="2339" w:val="left" w:leader="none"/>
        </w:tabs>
        <w:spacing w:before="160"/>
        <w:ind w:left="1440"/>
        <w:rPr>
          <w:rFonts w:ascii="Tahoma"/>
        </w:rPr>
      </w:pPr>
      <w:r>
        <w:rPr>
          <w:rFonts w:ascii="Tahoma"/>
          <w:b/>
        </w:rPr>
        <w:t>Re:</w:t>
        <w:tab/>
      </w:r>
      <w:r>
        <w:rPr>
          <w:rFonts w:ascii="Tahoma"/>
        </w:rPr>
        <w:t>Conference Call of Ad Hoc Committee on Update/Certification Review</w:t>
      </w:r>
      <w:r>
        <w:rPr>
          <w:rFonts w:ascii="Tahoma"/>
          <w:spacing w:val="-16"/>
        </w:rPr>
        <w:t> </w:t>
      </w:r>
      <w:r>
        <w:rPr>
          <w:rFonts w:ascii="Tahoma"/>
        </w:rPr>
        <w:t>Seminar</w:t>
      </w:r>
    </w:p>
    <w:p>
      <w:pPr>
        <w:tabs>
          <w:tab w:pos="2339" w:val="left" w:leader="none"/>
        </w:tabs>
        <w:spacing w:before="183"/>
        <w:ind w:left="1440" w:right="0" w:firstLine="0"/>
        <w:jc w:val="left"/>
        <w:rPr>
          <w:rFonts w:ascii="Tahoma"/>
          <w:sz w:val="24"/>
        </w:rPr>
      </w:pPr>
      <w:r>
        <w:rPr/>
        <w:pict>
          <v:shape style="position:absolute;margin-left:70.559998pt;margin-top:26.555857pt;width:470.9pt;height:.1pt;mso-position-horizontal-relative:page;mso-position-vertical-relative:paragraph;z-index:-251652096;mso-wrap-distance-left:0;mso-wrap-distance-right:0" coordorigin="1411,531" coordsize="9418,0" path="m1411,531l10829,531e" filled="false" stroked="true" strokeweight="1.44pt" strokecolor="#000000">
            <v:path arrowok="t"/>
            <v:stroke dashstyle="solid"/>
            <w10:wrap type="topAndBottom"/>
          </v:shape>
        </w:pict>
      </w:r>
      <w:r>
        <w:rPr>
          <w:rFonts w:ascii="Tahoma"/>
          <w:b/>
          <w:sz w:val="24"/>
        </w:rPr>
        <w:t>Date:</w:t>
        <w:tab/>
      </w:r>
      <w:r>
        <w:rPr>
          <w:rFonts w:ascii="Tahoma"/>
          <w:sz w:val="24"/>
        </w:rPr>
        <w:t>October 22,</w:t>
      </w:r>
      <w:r>
        <w:rPr>
          <w:rFonts w:ascii="Tahoma"/>
          <w:spacing w:val="-4"/>
          <w:sz w:val="24"/>
        </w:rPr>
        <w:t> </w:t>
      </w:r>
      <w:r>
        <w:rPr>
          <w:rFonts w:ascii="Tahoma"/>
          <w:sz w:val="24"/>
        </w:rPr>
        <w:t>2018</w:t>
      </w:r>
    </w:p>
    <w:p>
      <w:pPr>
        <w:pStyle w:val="BodyText"/>
        <w:spacing w:line="259" w:lineRule="auto" w:before="131"/>
        <w:ind w:left="1440" w:right="1570"/>
        <w:rPr>
          <w:rFonts w:ascii="Tahoma" w:hAnsi="Tahoma"/>
        </w:rPr>
      </w:pPr>
      <w:r>
        <w:rPr>
          <w:rFonts w:ascii="Tahoma" w:hAnsi="Tahoma"/>
        </w:rPr>
        <w:t>In follow-up to our discussion on this topic at the September 13, 2018, Executive Council meeting, the ad hoc committee selected by Chair Cathleen Scott met via teleconference on Thursday, October 18, 2018, with Chair Scott presiding. The Committee recommended the following actions to improve the Annual Update and Certification Review Seminar (“Seminar”) as a means of review and preparation for the certification exam.</w:t>
      </w:r>
    </w:p>
    <w:p>
      <w:pPr>
        <w:pStyle w:val="ListParagraph"/>
        <w:numPr>
          <w:ilvl w:val="0"/>
          <w:numId w:val="4"/>
        </w:numPr>
        <w:tabs>
          <w:tab w:pos="2160" w:val="left" w:leader="none"/>
        </w:tabs>
        <w:spacing w:line="259" w:lineRule="auto" w:before="158" w:after="0"/>
        <w:ind w:left="2160" w:right="1566" w:hanging="360"/>
        <w:jc w:val="left"/>
        <w:rPr>
          <w:sz w:val="24"/>
        </w:rPr>
      </w:pPr>
      <w:r>
        <w:rPr>
          <w:sz w:val="24"/>
        </w:rPr>
        <w:t>Invite a former chair of the Certification Committee to give a presentation at the Seminar for those sitting for the certification examination or interested in doing so in the future. The presentation will be supplemental to the regular agenda and will be given during lunch or at another time that does not impact the regular agenda for the program. The former chair will provide at his or her discretion information permissible under BLSE standards, such as a basic explanation of the examination process, the examination structure, and the covered areas. The presenter will also be available to answer appropriate questions. The presentation will be recorded and made available for</w:t>
      </w:r>
      <w:r>
        <w:rPr>
          <w:spacing w:val="-17"/>
          <w:sz w:val="24"/>
        </w:rPr>
        <w:t> </w:t>
      </w:r>
      <w:r>
        <w:rPr>
          <w:sz w:val="24"/>
        </w:rPr>
        <w:t>sale.</w:t>
      </w:r>
    </w:p>
    <w:p>
      <w:pPr>
        <w:pStyle w:val="BodyText"/>
        <w:spacing w:before="7"/>
        <w:rPr>
          <w:rFonts w:ascii="Tahoma"/>
          <w:sz w:val="25"/>
        </w:rPr>
      </w:pPr>
    </w:p>
    <w:p>
      <w:pPr>
        <w:pStyle w:val="ListParagraph"/>
        <w:numPr>
          <w:ilvl w:val="0"/>
          <w:numId w:val="4"/>
        </w:numPr>
        <w:tabs>
          <w:tab w:pos="2160" w:val="left" w:leader="none"/>
        </w:tabs>
        <w:spacing w:line="259" w:lineRule="auto" w:before="0" w:after="0"/>
        <w:ind w:left="2160" w:right="1448" w:hanging="360"/>
        <w:jc w:val="left"/>
        <w:rPr>
          <w:sz w:val="24"/>
        </w:rPr>
      </w:pPr>
      <w:r>
        <w:rPr>
          <w:sz w:val="24"/>
        </w:rPr>
        <w:t>Provide an updated list of the examination specifications to the Seminar co-chairs and presenters so that they are fully aware of the legal areas potentially tested on the exam, and to ensure that each legal area will be covered by one or more presenters.</w:t>
      </w:r>
    </w:p>
    <w:p>
      <w:pPr>
        <w:pStyle w:val="BodyText"/>
        <w:spacing w:before="11"/>
        <w:rPr>
          <w:rFonts w:ascii="Tahoma"/>
          <w:sz w:val="25"/>
        </w:rPr>
      </w:pPr>
    </w:p>
    <w:p>
      <w:pPr>
        <w:pStyle w:val="ListParagraph"/>
        <w:numPr>
          <w:ilvl w:val="0"/>
          <w:numId w:val="4"/>
        </w:numPr>
        <w:tabs>
          <w:tab w:pos="2160" w:val="left" w:leader="none"/>
        </w:tabs>
        <w:spacing w:line="259" w:lineRule="auto" w:before="1" w:after="0"/>
        <w:ind w:left="2160" w:right="1544" w:hanging="360"/>
        <w:jc w:val="left"/>
        <w:rPr>
          <w:sz w:val="24"/>
        </w:rPr>
      </w:pPr>
      <w:r>
        <w:rPr>
          <w:sz w:val="24"/>
        </w:rPr>
        <w:t>Establish specific standards for Seminar presentations consistent with the design of the Seminar to guide co-chairs and presenters. These include the</w:t>
      </w:r>
      <w:r>
        <w:rPr>
          <w:spacing w:val="-24"/>
          <w:sz w:val="24"/>
        </w:rPr>
        <w:t> </w:t>
      </w:r>
      <w:r>
        <w:rPr>
          <w:sz w:val="24"/>
        </w:rPr>
        <w:t>following:</w:t>
      </w:r>
    </w:p>
    <w:p>
      <w:pPr>
        <w:pStyle w:val="BodyText"/>
        <w:spacing w:before="8"/>
        <w:rPr>
          <w:rFonts w:ascii="Tahoma"/>
          <w:sz w:val="25"/>
        </w:rPr>
      </w:pPr>
    </w:p>
    <w:p>
      <w:pPr>
        <w:pStyle w:val="ListParagraph"/>
        <w:numPr>
          <w:ilvl w:val="1"/>
          <w:numId w:val="4"/>
        </w:numPr>
        <w:tabs>
          <w:tab w:pos="2880" w:val="left" w:leader="none"/>
        </w:tabs>
        <w:spacing w:line="259" w:lineRule="auto" w:before="0" w:after="0"/>
        <w:ind w:left="2880" w:right="1575" w:hanging="360"/>
        <w:jc w:val="left"/>
        <w:rPr>
          <w:sz w:val="24"/>
        </w:rPr>
      </w:pPr>
      <w:r>
        <w:rPr>
          <w:sz w:val="24"/>
        </w:rPr>
        <w:t>The oral presentations at the Seminar are intended to focus, where appropriate, on more recent developments in the specific subject area, such as recent case law, statutory or regulatory developments, or agency interpretation.</w:t>
      </w:r>
    </w:p>
    <w:p>
      <w:pPr>
        <w:spacing w:after="0" w:line="259" w:lineRule="auto"/>
        <w:jc w:val="left"/>
        <w:rPr>
          <w:sz w:val="24"/>
        </w:rPr>
        <w:sectPr>
          <w:footerReference w:type="default" r:id="rId20"/>
          <w:pgSz w:w="12240" w:h="15840"/>
          <w:pgMar w:footer="523" w:header="0" w:top="1360" w:bottom="720" w:left="0" w:right="0"/>
          <w:pgNumType w:start="1"/>
        </w:sectPr>
      </w:pPr>
    </w:p>
    <w:p>
      <w:pPr>
        <w:pStyle w:val="ListParagraph"/>
        <w:numPr>
          <w:ilvl w:val="1"/>
          <w:numId w:val="4"/>
        </w:numPr>
        <w:tabs>
          <w:tab w:pos="2880" w:val="left" w:leader="none"/>
        </w:tabs>
        <w:spacing w:line="259" w:lineRule="auto" w:before="80" w:after="0"/>
        <w:ind w:left="2879" w:right="1465" w:hanging="360"/>
        <w:jc w:val="left"/>
        <w:rPr>
          <w:sz w:val="24"/>
        </w:rPr>
      </w:pPr>
      <w:r>
        <w:rPr>
          <w:sz w:val="24"/>
        </w:rPr>
        <w:t>Each presentation should also be supported by a set of comprehensive materials surveying the breadth of the specific subject area and serving as a resource both for those preparing for the examination and for practitioners in general. These materials should be updated annually as appropriate.</w:t>
      </w:r>
    </w:p>
    <w:p>
      <w:pPr>
        <w:pStyle w:val="BodyText"/>
        <w:spacing w:before="10"/>
        <w:rPr>
          <w:rFonts w:ascii="Tahoma"/>
          <w:sz w:val="25"/>
        </w:rPr>
      </w:pPr>
    </w:p>
    <w:p>
      <w:pPr>
        <w:pStyle w:val="ListParagraph"/>
        <w:numPr>
          <w:ilvl w:val="1"/>
          <w:numId w:val="4"/>
        </w:numPr>
        <w:tabs>
          <w:tab w:pos="2880" w:val="left" w:leader="none"/>
        </w:tabs>
        <w:spacing w:line="259" w:lineRule="auto" w:before="0" w:after="0"/>
        <w:ind w:left="2879" w:right="1469" w:hanging="360"/>
        <w:jc w:val="left"/>
        <w:rPr>
          <w:sz w:val="24"/>
        </w:rPr>
      </w:pPr>
      <w:r>
        <w:rPr>
          <w:sz w:val="24"/>
        </w:rPr>
        <w:t>Recent developments covered in the oral presentations should be included in at least summary fashion in the comprehensive materials but may be covered in more depth in a separate submission such as a PowerPoint presentation.</w:t>
      </w:r>
    </w:p>
    <w:p>
      <w:pPr>
        <w:pStyle w:val="BodyText"/>
        <w:spacing w:before="9"/>
        <w:rPr>
          <w:rFonts w:ascii="Tahoma"/>
          <w:sz w:val="25"/>
        </w:rPr>
      </w:pPr>
    </w:p>
    <w:p>
      <w:pPr>
        <w:pStyle w:val="ListParagraph"/>
        <w:numPr>
          <w:ilvl w:val="1"/>
          <w:numId w:val="4"/>
        </w:numPr>
        <w:tabs>
          <w:tab w:pos="2880" w:val="left" w:leader="none"/>
        </w:tabs>
        <w:spacing w:line="259" w:lineRule="auto" w:before="1" w:after="0"/>
        <w:ind w:left="2880" w:right="1606" w:hanging="360"/>
        <w:jc w:val="left"/>
        <w:rPr>
          <w:sz w:val="24"/>
        </w:rPr>
      </w:pPr>
      <w:r>
        <w:rPr>
          <w:sz w:val="24"/>
        </w:rPr>
        <w:t>The co-chairs of the Seminar should remind attendees of the structure of the Seminar, so attendees better understand the focus of the presentations and written materials. Presenters should cross-reference the written materials during their presentations as</w:t>
      </w:r>
      <w:r>
        <w:rPr>
          <w:spacing w:val="-11"/>
          <w:sz w:val="24"/>
        </w:rPr>
        <w:t> </w:t>
      </w:r>
      <w:r>
        <w:rPr>
          <w:sz w:val="24"/>
        </w:rPr>
        <w:t>appropriate.</w:t>
      </w:r>
    </w:p>
    <w:p>
      <w:pPr>
        <w:spacing w:after="0" w:line="259" w:lineRule="auto"/>
        <w:jc w:val="left"/>
        <w:rPr>
          <w:sz w:val="24"/>
        </w:rPr>
        <w:sectPr>
          <w:pgSz w:w="12240" w:h="15840"/>
          <w:pgMar w:header="0" w:footer="523" w:top="1360" w:bottom="720" w:left="0" w:right="0"/>
        </w:sectPr>
      </w:pPr>
    </w:p>
    <w:p>
      <w:pPr>
        <w:pStyle w:val="Heading2"/>
        <w:spacing w:line="276" w:lineRule="auto" w:before="74"/>
        <w:ind w:right="3212"/>
      </w:pPr>
      <w:r>
        <w:rPr/>
        <w:drawing>
          <wp:anchor distT="0" distB="0" distL="0" distR="0" allowOverlap="1" layoutInCell="1" locked="0" behindDoc="0" simplePos="0" relativeHeight="251665408">
            <wp:simplePos x="0" y="0"/>
            <wp:positionH relativeFrom="page">
              <wp:posOffset>5936423</wp:posOffset>
            </wp:positionH>
            <wp:positionV relativeFrom="paragraph">
              <wp:posOffset>57033</wp:posOffset>
            </wp:positionV>
            <wp:extent cx="915957" cy="1209949"/>
            <wp:effectExtent l="0" t="0" r="0" b="0"/>
            <wp:wrapNone/>
            <wp:docPr id="11" name="image5.png" descr="The Floirda Bar Board Certified Seal  "/>
            <wp:cNvGraphicFramePr>
              <a:graphicFrameLocks noChangeAspect="1"/>
            </wp:cNvGraphicFramePr>
            <a:graphic>
              <a:graphicData uri="http://schemas.openxmlformats.org/drawingml/2006/picture">
                <pic:pic>
                  <pic:nvPicPr>
                    <pic:cNvPr id="12" name="image5.png"/>
                    <pic:cNvPicPr/>
                  </pic:nvPicPr>
                  <pic:blipFill>
                    <a:blip r:embed="rId22" cstate="print"/>
                    <a:stretch>
                      <a:fillRect/>
                    </a:stretch>
                  </pic:blipFill>
                  <pic:spPr>
                    <a:xfrm>
                      <a:off x="0" y="0"/>
                      <a:ext cx="915957" cy="1209949"/>
                    </a:xfrm>
                    <a:prstGeom prst="rect">
                      <a:avLst/>
                    </a:prstGeom>
                  </pic:spPr>
                </pic:pic>
              </a:graphicData>
            </a:graphic>
          </wp:anchor>
        </w:drawing>
      </w:r>
      <w:r>
        <w:rPr/>
        <w:drawing>
          <wp:anchor distT="0" distB="0" distL="0" distR="0" allowOverlap="1" layoutInCell="1" locked="0" behindDoc="0" simplePos="0" relativeHeight="251666432">
            <wp:simplePos x="0" y="0"/>
            <wp:positionH relativeFrom="page">
              <wp:posOffset>985963</wp:posOffset>
            </wp:positionH>
            <wp:positionV relativeFrom="paragraph">
              <wp:posOffset>57033</wp:posOffset>
            </wp:positionV>
            <wp:extent cx="915957" cy="1209949"/>
            <wp:effectExtent l="0" t="0" r="0" b="0"/>
            <wp:wrapNone/>
            <wp:docPr id="13" name="image5.png"/>
            <wp:cNvGraphicFramePr>
              <a:graphicFrameLocks noChangeAspect="1"/>
            </wp:cNvGraphicFramePr>
            <a:graphic>
              <a:graphicData uri="http://schemas.openxmlformats.org/drawingml/2006/picture">
                <pic:pic>
                  <pic:nvPicPr>
                    <pic:cNvPr id="14" name="image5.png"/>
                    <pic:cNvPicPr/>
                  </pic:nvPicPr>
                  <pic:blipFill>
                    <a:blip r:embed="rId22" cstate="print"/>
                    <a:stretch>
                      <a:fillRect/>
                    </a:stretch>
                  </pic:blipFill>
                  <pic:spPr>
                    <a:xfrm>
                      <a:off x="0" y="0"/>
                      <a:ext cx="915957" cy="1209949"/>
                    </a:xfrm>
                    <a:prstGeom prst="rect">
                      <a:avLst/>
                    </a:prstGeom>
                  </pic:spPr>
                </pic:pic>
              </a:graphicData>
            </a:graphic>
          </wp:anchor>
        </w:drawing>
      </w:r>
      <w:bookmarkStart w:name="LEexamspecs" w:id="24"/>
      <w:bookmarkEnd w:id="24"/>
      <w:r>
        <w:rPr>
          <w:b w:val="0"/>
        </w:rPr>
      </w:r>
      <w:r>
        <w:rPr/>
        <w:t>LABOR &amp; EMPLOYMENT CERTIFICATION EXAMINATION SPECIFICATIONS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22"/>
        </w:rPr>
      </w:pPr>
    </w:p>
    <w:p>
      <w:pPr>
        <w:pStyle w:val="ListParagraph"/>
        <w:numPr>
          <w:ilvl w:val="0"/>
          <w:numId w:val="5"/>
        </w:numPr>
        <w:tabs>
          <w:tab w:pos="1697" w:val="left" w:leader="none"/>
        </w:tabs>
        <w:spacing w:line="240" w:lineRule="auto" w:before="1" w:after="0"/>
        <w:ind w:left="1696" w:right="0" w:hanging="257"/>
        <w:jc w:val="left"/>
        <w:rPr>
          <w:rFonts w:ascii="Arial"/>
          <w:b/>
          <w:sz w:val="23"/>
        </w:rPr>
      </w:pPr>
      <w:r>
        <w:rPr>
          <w:rFonts w:ascii="Arial"/>
          <w:b/>
          <w:sz w:val="23"/>
        </w:rPr>
        <w:t>Purpose of</w:t>
      </w:r>
      <w:r>
        <w:rPr>
          <w:rFonts w:ascii="Arial"/>
          <w:b/>
          <w:spacing w:val="-2"/>
          <w:sz w:val="23"/>
        </w:rPr>
        <w:t> </w:t>
      </w:r>
      <w:r>
        <w:rPr>
          <w:rFonts w:ascii="Arial"/>
          <w:b/>
          <w:sz w:val="23"/>
        </w:rPr>
        <w:t>Examination</w:t>
      </w:r>
    </w:p>
    <w:p>
      <w:pPr>
        <w:pStyle w:val="BodyText"/>
        <w:spacing w:before="3"/>
        <w:rPr>
          <w:rFonts w:ascii="Arial"/>
          <w:b/>
          <w:sz w:val="23"/>
        </w:rPr>
      </w:pPr>
    </w:p>
    <w:p>
      <w:pPr>
        <w:spacing w:before="0"/>
        <w:ind w:left="1440" w:right="1638" w:firstLine="0"/>
        <w:jc w:val="left"/>
        <w:rPr>
          <w:rFonts w:ascii="Arial" w:hAnsi="Arial"/>
          <w:sz w:val="23"/>
        </w:rPr>
      </w:pPr>
      <w:r>
        <w:rPr>
          <w:rFonts w:ascii="Arial" w:hAnsi="Arial"/>
          <w:sz w:val="23"/>
        </w:rPr>
        <w:t>The Labor &amp; Employment Certification Examination consists of a combination of essay, short answer, and multiple choice questions. It is intended to test whether an applicant possesses the knowledge, skills, abilities, ethics, and judgments that are common to specialists in Labor &amp; Employment law and is also intended to be a valid and reliable measurement to justify the representation of special competence and professionalism that distinguishes a “Florida Bar Board Certified Lawyer.”</w:t>
      </w:r>
    </w:p>
    <w:p>
      <w:pPr>
        <w:pStyle w:val="BodyText"/>
        <w:spacing w:before="9"/>
        <w:rPr>
          <w:rFonts w:ascii="Arial"/>
          <w:sz w:val="22"/>
        </w:rPr>
      </w:pPr>
    </w:p>
    <w:p>
      <w:pPr>
        <w:pStyle w:val="ListParagraph"/>
        <w:numPr>
          <w:ilvl w:val="0"/>
          <w:numId w:val="5"/>
        </w:numPr>
        <w:tabs>
          <w:tab w:pos="1697" w:val="left" w:leader="none"/>
        </w:tabs>
        <w:spacing w:line="240" w:lineRule="auto" w:before="0" w:after="0"/>
        <w:ind w:left="1696" w:right="0" w:hanging="257"/>
        <w:jc w:val="left"/>
        <w:rPr>
          <w:rFonts w:ascii="Arial"/>
          <w:b/>
          <w:sz w:val="23"/>
        </w:rPr>
      </w:pPr>
      <w:r>
        <w:rPr>
          <w:rFonts w:ascii="Arial"/>
          <w:b/>
          <w:sz w:val="23"/>
        </w:rPr>
        <w:t>Examination Content</w:t>
      </w:r>
    </w:p>
    <w:p>
      <w:pPr>
        <w:pStyle w:val="BodyText"/>
        <w:spacing w:before="4"/>
        <w:rPr>
          <w:rFonts w:ascii="Arial"/>
          <w:b/>
          <w:sz w:val="23"/>
        </w:rPr>
      </w:pPr>
    </w:p>
    <w:p>
      <w:pPr>
        <w:spacing w:before="0"/>
        <w:ind w:left="1440" w:right="0" w:firstLine="0"/>
        <w:jc w:val="left"/>
        <w:rPr>
          <w:rFonts w:ascii="Arial"/>
          <w:sz w:val="23"/>
        </w:rPr>
      </w:pPr>
      <w:r>
        <w:rPr>
          <w:rFonts w:ascii="Arial"/>
          <w:sz w:val="23"/>
        </w:rPr>
        <w:t>Topics that may be covered on the Labor &amp; Employment examination include:</w:t>
      </w:r>
    </w:p>
    <w:p>
      <w:pPr>
        <w:pStyle w:val="BodyText"/>
        <w:spacing w:before="8"/>
        <w:rPr>
          <w:rFonts w:ascii="Arial"/>
          <w:sz w:val="22"/>
        </w:rPr>
      </w:pPr>
    </w:p>
    <w:p>
      <w:pPr>
        <w:pStyle w:val="ListParagraph"/>
        <w:numPr>
          <w:ilvl w:val="1"/>
          <w:numId w:val="5"/>
        </w:numPr>
        <w:tabs>
          <w:tab w:pos="2417" w:val="left" w:leader="none"/>
        </w:tabs>
        <w:spacing w:line="240" w:lineRule="auto" w:before="0" w:after="0"/>
        <w:ind w:left="2416" w:right="0" w:hanging="257"/>
        <w:jc w:val="left"/>
        <w:rPr>
          <w:rFonts w:ascii="Arial"/>
          <w:b/>
          <w:sz w:val="23"/>
        </w:rPr>
      </w:pPr>
      <w:r>
        <w:rPr>
          <w:rFonts w:ascii="Arial"/>
          <w:b/>
          <w:sz w:val="23"/>
        </w:rPr>
        <w:t>Traditional Labor (Approximately</w:t>
      </w:r>
      <w:r>
        <w:rPr>
          <w:rFonts w:ascii="Arial"/>
          <w:b/>
          <w:spacing w:val="-7"/>
          <w:sz w:val="23"/>
        </w:rPr>
        <w:t> </w:t>
      </w:r>
      <w:r>
        <w:rPr>
          <w:rFonts w:ascii="Arial"/>
          <w:b/>
          <w:sz w:val="23"/>
        </w:rPr>
        <w:t>25%)</w:t>
      </w:r>
    </w:p>
    <w:p>
      <w:pPr>
        <w:pStyle w:val="ListParagraph"/>
        <w:numPr>
          <w:ilvl w:val="2"/>
          <w:numId w:val="5"/>
        </w:numPr>
        <w:tabs>
          <w:tab w:pos="2544" w:val="left" w:leader="none"/>
        </w:tabs>
        <w:spacing w:line="264" w:lineRule="exact" w:before="2" w:after="0"/>
        <w:ind w:left="2543" w:right="0" w:hanging="384"/>
        <w:jc w:val="left"/>
        <w:rPr>
          <w:rFonts w:ascii="Arial"/>
          <w:sz w:val="23"/>
        </w:rPr>
      </w:pPr>
      <w:r>
        <w:rPr>
          <w:rFonts w:ascii="Arial"/>
          <w:sz w:val="23"/>
        </w:rPr>
        <w:t>FLSA</w:t>
      </w:r>
    </w:p>
    <w:p>
      <w:pPr>
        <w:pStyle w:val="ListParagraph"/>
        <w:numPr>
          <w:ilvl w:val="2"/>
          <w:numId w:val="5"/>
        </w:numPr>
        <w:tabs>
          <w:tab w:pos="2544" w:val="left" w:leader="none"/>
        </w:tabs>
        <w:spacing w:line="264" w:lineRule="exact" w:before="0" w:after="0"/>
        <w:ind w:left="2543" w:right="0" w:hanging="384"/>
        <w:jc w:val="left"/>
        <w:rPr>
          <w:rFonts w:ascii="Arial"/>
          <w:sz w:val="23"/>
        </w:rPr>
      </w:pPr>
      <w:r>
        <w:rPr>
          <w:rFonts w:ascii="Arial"/>
          <w:sz w:val="23"/>
        </w:rPr>
        <w:t>Public Sector Collective Bargaining/Career</w:t>
      </w:r>
      <w:r>
        <w:rPr>
          <w:rFonts w:ascii="Arial"/>
          <w:spacing w:val="-2"/>
          <w:sz w:val="23"/>
        </w:rPr>
        <w:t> </w:t>
      </w:r>
      <w:r>
        <w:rPr>
          <w:rFonts w:ascii="Arial"/>
          <w:sz w:val="23"/>
        </w:rPr>
        <w:t>Service</w:t>
      </w:r>
    </w:p>
    <w:p>
      <w:pPr>
        <w:pStyle w:val="ListParagraph"/>
        <w:numPr>
          <w:ilvl w:val="2"/>
          <w:numId w:val="5"/>
        </w:numPr>
        <w:tabs>
          <w:tab w:pos="2544" w:val="left" w:leader="none"/>
        </w:tabs>
        <w:spacing w:line="240" w:lineRule="auto" w:before="2" w:after="0"/>
        <w:ind w:left="2543" w:right="0" w:hanging="384"/>
        <w:jc w:val="left"/>
        <w:rPr>
          <w:rFonts w:ascii="Arial"/>
          <w:sz w:val="23"/>
        </w:rPr>
      </w:pPr>
      <w:r>
        <w:rPr>
          <w:rFonts w:ascii="Arial"/>
          <w:sz w:val="23"/>
        </w:rPr>
        <w:t>NLRA</w:t>
      </w:r>
    </w:p>
    <w:p>
      <w:pPr>
        <w:pStyle w:val="BodyText"/>
        <w:spacing w:before="8"/>
        <w:rPr>
          <w:rFonts w:ascii="Arial"/>
          <w:sz w:val="22"/>
        </w:rPr>
      </w:pPr>
    </w:p>
    <w:p>
      <w:pPr>
        <w:pStyle w:val="ListParagraph"/>
        <w:numPr>
          <w:ilvl w:val="1"/>
          <w:numId w:val="5"/>
        </w:numPr>
        <w:tabs>
          <w:tab w:pos="2418" w:val="left" w:leader="none"/>
        </w:tabs>
        <w:spacing w:line="240" w:lineRule="auto" w:before="0" w:after="0"/>
        <w:ind w:left="2417" w:right="0" w:hanging="258"/>
        <w:jc w:val="left"/>
        <w:rPr>
          <w:rFonts w:ascii="Arial"/>
          <w:b/>
          <w:sz w:val="23"/>
        </w:rPr>
      </w:pPr>
      <w:r>
        <w:rPr>
          <w:rFonts w:ascii="Arial"/>
          <w:b/>
          <w:sz w:val="23"/>
        </w:rPr>
        <w:t>Equal Employment Opportunity (Approximately</w:t>
      </w:r>
      <w:r>
        <w:rPr>
          <w:rFonts w:ascii="Arial"/>
          <w:b/>
          <w:spacing w:val="-8"/>
          <w:sz w:val="23"/>
        </w:rPr>
        <w:t> </w:t>
      </w:r>
      <w:r>
        <w:rPr>
          <w:rFonts w:ascii="Arial"/>
          <w:b/>
          <w:sz w:val="23"/>
        </w:rPr>
        <w:t>25%)</w:t>
      </w:r>
    </w:p>
    <w:p>
      <w:pPr>
        <w:pStyle w:val="ListParagraph"/>
        <w:numPr>
          <w:ilvl w:val="2"/>
          <w:numId w:val="5"/>
        </w:numPr>
        <w:tabs>
          <w:tab w:pos="2544" w:val="left" w:leader="none"/>
        </w:tabs>
        <w:spacing w:line="264" w:lineRule="exact" w:before="2" w:after="0"/>
        <w:ind w:left="2543" w:right="0" w:hanging="384"/>
        <w:jc w:val="left"/>
        <w:rPr>
          <w:rFonts w:ascii="Arial"/>
          <w:sz w:val="23"/>
        </w:rPr>
      </w:pPr>
      <w:r>
        <w:rPr>
          <w:rFonts w:ascii="Arial"/>
          <w:sz w:val="23"/>
        </w:rPr>
        <w:t>Title</w:t>
      </w:r>
      <w:r>
        <w:rPr>
          <w:rFonts w:ascii="Arial"/>
          <w:spacing w:val="-2"/>
          <w:sz w:val="23"/>
        </w:rPr>
        <w:t> </w:t>
      </w:r>
      <w:r>
        <w:rPr>
          <w:rFonts w:ascii="Arial"/>
          <w:sz w:val="23"/>
        </w:rPr>
        <w:t>VII/FCRA</w:t>
      </w:r>
    </w:p>
    <w:p>
      <w:pPr>
        <w:pStyle w:val="ListParagraph"/>
        <w:numPr>
          <w:ilvl w:val="2"/>
          <w:numId w:val="5"/>
        </w:numPr>
        <w:tabs>
          <w:tab w:pos="2544" w:val="left" w:leader="none"/>
        </w:tabs>
        <w:spacing w:line="264" w:lineRule="exact" w:before="0" w:after="0"/>
        <w:ind w:left="2543" w:right="0" w:hanging="384"/>
        <w:jc w:val="left"/>
        <w:rPr>
          <w:rFonts w:ascii="Arial"/>
          <w:sz w:val="23"/>
        </w:rPr>
      </w:pPr>
      <w:r>
        <w:rPr>
          <w:rFonts w:ascii="Arial"/>
          <w:sz w:val="23"/>
        </w:rPr>
        <w:t>ADA</w:t>
      </w:r>
    </w:p>
    <w:p>
      <w:pPr>
        <w:pStyle w:val="ListParagraph"/>
        <w:numPr>
          <w:ilvl w:val="2"/>
          <w:numId w:val="5"/>
        </w:numPr>
        <w:tabs>
          <w:tab w:pos="2544" w:val="left" w:leader="none"/>
        </w:tabs>
        <w:spacing w:line="264" w:lineRule="exact" w:before="2" w:after="0"/>
        <w:ind w:left="2543" w:right="0" w:hanging="384"/>
        <w:jc w:val="left"/>
        <w:rPr>
          <w:rFonts w:ascii="Arial"/>
          <w:sz w:val="23"/>
        </w:rPr>
      </w:pPr>
      <w:r>
        <w:rPr>
          <w:rFonts w:ascii="Arial"/>
          <w:sz w:val="23"/>
        </w:rPr>
        <w:t>ADEA (and related statutes)</w:t>
      </w:r>
    </w:p>
    <w:p>
      <w:pPr>
        <w:pStyle w:val="ListParagraph"/>
        <w:numPr>
          <w:ilvl w:val="2"/>
          <w:numId w:val="5"/>
        </w:numPr>
        <w:tabs>
          <w:tab w:pos="2544" w:val="left" w:leader="none"/>
        </w:tabs>
        <w:spacing w:line="264" w:lineRule="exact" w:before="0" w:after="0"/>
        <w:ind w:left="2543" w:right="0" w:hanging="384"/>
        <w:jc w:val="left"/>
        <w:rPr>
          <w:rFonts w:ascii="Arial"/>
          <w:sz w:val="23"/>
        </w:rPr>
      </w:pPr>
      <w:r>
        <w:rPr>
          <w:rFonts w:ascii="Arial"/>
          <w:sz w:val="23"/>
        </w:rPr>
        <w:t>GINA</w:t>
      </w:r>
    </w:p>
    <w:p>
      <w:pPr>
        <w:pStyle w:val="BodyText"/>
        <w:spacing w:before="8"/>
        <w:rPr>
          <w:rFonts w:ascii="Arial"/>
          <w:sz w:val="22"/>
        </w:rPr>
      </w:pPr>
    </w:p>
    <w:p>
      <w:pPr>
        <w:pStyle w:val="ListParagraph"/>
        <w:numPr>
          <w:ilvl w:val="1"/>
          <w:numId w:val="5"/>
        </w:numPr>
        <w:tabs>
          <w:tab w:pos="2417" w:val="left" w:leader="none"/>
        </w:tabs>
        <w:spacing w:line="240" w:lineRule="auto" w:before="0" w:after="0"/>
        <w:ind w:left="2416" w:right="0" w:hanging="257"/>
        <w:jc w:val="left"/>
        <w:rPr>
          <w:rFonts w:ascii="Arial"/>
          <w:b/>
          <w:sz w:val="23"/>
        </w:rPr>
      </w:pPr>
      <w:r>
        <w:rPr>
          <w:rFonts w:ascii="Arial"/>
          <w:b/>
          <w:sz w:val="23"/>
        </w:rPr>
        <w:t>Hybrid Labor and Employment (Approximately</w:t>
      </w:r>
      <w:r>
        <w:rPr>
          <w:rFonts w:ascii="Arial"/>
          <w:b/>
          <w:spacing w:val="-7"/>
          <w:sz w:val="23"/>
        </w:rPr>
        <w:t> </w:t>
      </w:r>
      <w:r>
        <w:rPr>
          <w:rFonts w:ascii="Arial"/>
          <w:b/>
          <w:sz w:val="23"/>
        </w:rPr>
        <w:t>25%)</w:t>
      </w:r>
    </w:p>
    <w:p>
      <w:pPr>
        <w:pStyle w:val="ListParagraph"/>
        <w:numPr>
          <w:ilvl w:val="2"/>
          <w:numId w:val="5"/>
        </w:numPr>
        <w:tabs>
          <w:tab w:pos="2544" w:val="left" w:leader="none"/>
        </w:tabs>
        <w:spacing w:line="240" w:lineRule="auto" w:before="2" w:after="0"/>
        <w:ind w:left="2543" w:right="0" w:hanging="384"/>
        <w:jc w:val="left"/>
        <w:rPr>
          <w:rFonts w:ascii="Arial"/>
          <w:sz w:val="23"/>
        </w:rPr>
      </w:pPr>
      <w:r>
        <w:rPr>
          <w:rFonts w:ascii="Arial"/>
          <w:sz w:val="23"/>
        </w:rPr>
        <w:t>ERISA, COBRA, ACA,</w:t>
      </w:r>
      <w:r>
        <w:rPr>
          <w:rFonts w:ascii="Arial"/>
          <w:spacing w:val="2"/>
          <w:sz w:val="23"/>
        </w:rPr>
        <w:t> </w:t>
      </w:r>
      <w:r>
        <w:rPr>
          <w:rFonts w:ascii="Arial"/>
          <w:sz w:val="23"/>
        </w:rPr>
        <w:t>HIPAA</w:t>
      </w:r>
    </w:p>
    <w:p>
      <w:pPr>
        <w:pStyle w:val="ListParagraph"/>
        <w:numPr>
          <w:ilvl w:val="2"/>
          <w:numId w:val="5"/>
        </w:numPr>
        <w:tabs>
          <w:tab w:pos="2544" w:val="left" w:leader="none"/>
        </w:tabs>
        <w:spacing w:line="264" w:lineRule="exact" w:before="2" w:after="0"/>
        <w:ind w:left="2543" w:right="0" w:hanging="384"/>
        <w:jc w:val="left"/>
        <w:rPr>
          <w:rFonts w:ascii="Arial"/>
          <w:sz w:val="23"/>
        </w:rPr>
      </w:pPr>
      <w:r>
        <w:rPr>
          <w:rFonts w:ascii="Arial"/>
          <w:sz w:val="23"/>
        </w:rPr>
        <w:t>FMLA</w:t>
      </w:r>
    </w:p>
    <w:p>
      <w:pPr>
        <w:pStyle w:val="ListParagraph"/>
        <w:numPr>
          <w:ilvl w:val="2"/>
          <w:numId w:val="5"/>
        </w:numPr>
        <w:tabs>
          <w:tab w:pos="2544" w:val="left" w:leader="none"/>
        </w:tabs>
        <w:spacing w:line="264" w:lineRule="exact" w:before="0" w:after="0"/>
        <w:ind w:left="2543" w:right="0" w:hanging="384"/>
        <w:jc w:val="left"/>
        <w:rPr>
          <w:rFonts w:ascii="Arial"/>
          <w:sz w:val="23"/>
        </w:rPr>
      </w:pPr>
      <w:r>
        <w:rPr>
          <w:rFonts w:ascii="Arial"/>
          <w:sz w:val="23"/>
        </w:rPr>
        <w:t>OSHA</w:t>
      </w:r>
    </w:p>
    <w:p>
      <w:pPr>
        <w:pStyle w:val="ListParagraph"/>
        <w:numPr>
          <w:ilvl w:val="2"/>
          <w:numId w:val="5"/>
        </w:numPr>
        <w:tabs>
          <w:tab w:pos="2544" w:val="left" w:leader="none"/>
        </w:tabs>
        <w:spacing w:line="264" w:lineRule="exact" w:before="0" w:after="0"/>
        <w:ind w:left="2543" w:right="0" w:hanging="384"/>
        <w:jc w:val="left"/>
        <w:rPr>
          <w:rFonts w:ascii="Arial"/>
          <w:sz w:val="23"/>
        </w:rPr>
      </w:pPr>
      <w:r>
        <w:rPr>
          <w:rFonts w:ascii="Arial"/>
          <w:sz w:val="23"/>
        </w:rPr>
        <w:t>USERRA</w:t>
      </w:r>
    </w:p>
    <w:p>
      <w:pPr>
        <w:pStyle w:val="BodyText"/>
        <w:spacing w:before="9"/>
        <w:rPr>
          <w:rFonts w:ascii="Arial"/>
          <w:sz w:val="22"/>
        </w:rPr>
      </w:pPr>
    </w:p>
    <w:p>
      <w:pPr>
        <w:pStyle w:val="ListParagraph"/>
        <w:numPr>
          <w:ilvl w:val="1"/>
          <w:numId w:val="5"/>
        </w:numPr>
        <w:tabs>
          <w:tab w:pos="2418" w:val="left" w:leader="none"/>
        </w:tabs>
        <w:spacing w:line="240" w:lineRule="auto" w:before="0" w:after="0"/>
        <w:ind w:left="2417" w:right="0" w:hanging="258"/>
        <w:jc w:val="left"/>
        <w:rPr>
          <w:rFonts w:ascii="Arial"/>
          <w:b/>
          <w:sz w:val="23"/>
        </w:rPr>
      </w:pPr>
      <w:r>
        <w:rPr>
          <w:rFonts w:ascii="Arial"/>
          <w:b/>
          <w:sz w:val="23"/>
        </w:rPr>
        <w:t>Miscellaneous Statutes/Individual Rights (Approximately</w:t>
      </w:r>
      <w:r>
        <w:rPr>
          <w:rFonts w:ascii="Arial"/>
          <w:b/>
          <w:spacing w:val="-8"/>
          <w:sz w:val="23"/>
        </w:rPr>
        <w:t> </w:t>
      </w:r>
      <w:r>
        <w:rPr>
          <w:rFonts w:ascii="Arial"/>
          <w:b/>
          <w:sz w:val="23"/>
        </w:rPr>
        <w:t>25%)</w:t>
      </w:r>
    </w:p>
    <w:p>
      <w:pPr>
        <w:spacing w:line="264" w:lineRule="exact" w:before="4"/>
        <w:ind w:left="2160" w:right="0" w:firstLine="0"/>
        <w:jc w:val="left"/>
        <w:rPr>
          <w:rFonts w:ascii="Arial"/>
          <w:sz w:val="23"/>
        </w:rPr>
      </w:pPr>
      <w:r>
        <w:rPr>
          <w:rFonts w:ascii="Arial"/>
          <w:sz w:val="23"/>
        </w:rPr>
        <w:t>4.1. Reconstruction Era Civil Rights Statutes (1981, 1983, 1985)</w:t>
      </w:r>
    </w:p>
    <w:p>
      <w:pPr>
        <w:pStyle w:val="ListParagraph"/>
        <w:numPr>
          <w:ilvl w:val="1"/>
          <w:numId w:val="6"/>
        </w:numPr>
        <w:tabs>
          <w:tab w:pos="2540" w:val="left" w:leader="none"/>
        </w:tabs>
        <w:spacing w:line="264" w:lineRule="exact" w:before="0" w:after="0"/>
        <w:ind w:left="2539" w:right="0" w:hanging="380"/>
        <w:jc w:val="left"/>
        <w:rPr>
          <w:rFonts w:ascii="Arial"/>
          <w:sz w:val="23"/>
        </w:rPr>
      </w:pPr>
      <w:r>
        <w:rPr>
          <w:rFonts w:ascii="Arial"/>
          <w:sz w:val="23"/>
        </w:rPr>
        <w:t>WARN</w:t>
      </w:r>
    </w:p>
    <w:p>
      <w:pPr>
        <w:pStyle w:val="ListParagraph"/>
        <w:numPr>
          <w:ilvl w:val="1"/>
          <w:numId w:val="6"/>
        </w:numPr>
        <w:tabs>
          <w:tab w:pos="2544" w:val="left" w:leader="none"/>
        </w:tabs>
        <w:spacing w:line="264" w:lineRule="exact" w:before="0" w:after="0"/>
        <w:ind w:left="2543" w:right="0" w:hanging="384"/>
        <w:jc w:val="left"/>
        <w:rPr>
          <w:rFonts w:ascii="Arial"/>
          <w:sz w:val="23"/>
        </w:rPr>
      </w:pPr>
      <w:r>
        <w:rPr>
          <w:rFonts w:ascii="Arial"/>
          <w:sz w:val="23"/>
        </w:rPr>
        <w:t>Drug</w:t>
      </w:r>
      <w:r>
        <w:rPr>
          <w:rFonts w:ascii="Arial"/>
          <w:spacing w:val="-2"/>
          <w:sz w:val="23"/>
        </w:rPr>
        <w:t> </w:t>
      </w:r>
      <w:r>
        <w:rPr>
          <w:rFonts w:ascii="Arial"/>
          <w:sz w:val="23"/>
        </w:rPr>
        <w:t>Testing</w:t>
      </w:r>
    </w:p>
    <w:p>
      <w:pPr>
        <w:pStyle w:val="ListParagraph"/>
        <w:numPr>
          <w:ilvl w:val="1"/>
          <w:numId w:val="6"/>
        </w:numPr>
        <w:tabs>
          <w:tab w:pos="2544" w:val="left" w:leader="none"/>
        </w:tabs>
        <w:spacing w:line="264" w:lineRule="exact" w:before="0" w:after="0"/>
        <w:ind w:left="2543" w:right="0" w:hanging="384"/>
        <w:jc w:val="left"/>
        <w:rPr>
          <w:rFonts w:ascii="Arial"/>
          <w:sz w:val="23"/>
        </w:rPr>
      </w:pPr>
      <w:r>
        <w:rPr>
          <w:rFonts w:ascii="Arial"/>
          <w:sz w:val="23"/>
        </w:rPr>
        <w:t>Employment Torts</w:t>
      </w:r>
    </w:p>
    <w:p>
      <w:pPr>
        <w:pStyle w:val="ListParagraph"/>
        <w:numPr>
          <w:ilvl w:val="1"/>
          <w:numId w:val="6"/>
        </w:numPr>
        <w:tabs>
          <w:tab w:pos="2544" w:val="left" w:leader="none"/>
        </w:tabs>
        <w:spacing w:line="264" w:lineRule="exact" w:before="0" w:after="0"/>
        <w:ind w:left="2543" w:right="0" w:hanging="384"/>
        <w:jc w:val="left"/>
        <w:rPr>
          <w:rFonts w:ascii="Arial"/>
          <w:sz w:val="23"/>
        </w:rPr>
      </w:pPr>
      <w:r>
        <w:rPr>
          <w:rFonts w:ascii="Arial"/>
          <w:sz w:val="23"/>
        </w:rPr>
        <w:t>Equal Pay</w:t>
      </w:r>
      <w:r>
        <w:rPr>
          <w:rFonts w:ascii="Arial"/>
          <w:spacing w:val="-3"/>
          <w:sz w:val="23"/>
        </w:rPr>
        <w:t> </w:t>
      </w:r>
      <w:r>
        <w:rPr>
          <w:rFonts w:ascii="Arial"/>
          <w:sz w:val="23"/>
        </w:rPr>
        <w:t>Act</w:t>
      </w:r>
    </w:p>
    <w:p>
      <w:pPr>
        <w:pStyle w:val="ListParagraph"/>
        <w:numPr>
          <w:ilvl w:val="1"/>
          <w:numId w:val="6"/>
        </w:numPr>
        <w:tabs>
          <w:tab w:pos="2544" w:val="left" w:leader="none"/>
        </w:tabs>
        <w:spacing w:line="240" w:lineRule="auto" w:before="2" w:after="0"/>
        <w:ind w:left="2543" w:right="0" w:hanging="384"/>
        <w:jc w:val="left"/>
        <w:rPr>
          <w:rFonts w:ascii="Arial" w:hAnsi="Arial"/>
          <w:sz w:val="23"/>
        </w:rPr>
      </w:pPr>
      <w:r>
        <w:rPr>
          <w:rFonts w:ascii="Arial" w:hAnsi="Arial"/>
          <w:sz w:val="23"/>
        </w:rPr>
        <w:t>Domestic Violence Leave (Fla. Stat. §</w:t>
      </w:r>
      <w:r>
        <w:rPr>
          <w:rFonts w:ascii="Arial" w:hAnsi="Arial"/>
          <w:spacing w:val="1"/>
          <w:sz w:val="23"/>
        </w:rPr>
        <w:t> </w:t>
      </w:r>
      <w:r>
        <w:rPr>
          <w:rFonts w:ascii="Arial" w:hAnsi="Arial"/>
          <w:sz w:val="23"/>
        </w:rPr>
        <w:t>741.313)</w:t>
      </w:r>
    </w:p>
    <w:p>
      <w:pPr>
        <w:spacing w:after="0" w:line="240" w:lineRule="auto"/>
        <w:jc w:val="left"/>
        <w:rPr>
          <w:rFonts w:ascii="Arial" w:hAnsi="Arial"/>
          <w:sz w:val="23"/>
        </w:rPr>
        <w:sectPr>
          <w:footerReference w:type="default" r:id="rId21"/>
          <w:pgSz w:w="12240" w:h="15840"/>
          <w:pgMar w:footer="979" w:header="0" w:top="1360" w:bottom="1160" w:left="0" w:right="0"/>
          <w:pgBorders w:offsetFrom="page">
            <w:top w:val="double" w:color="000000" w:space="24" w:sz="4"/>
            <w:left w:val="double" w:color="000000" w:space="24" w:sz="4"/>
            <w:bottom w:val="double" w:color="000000" w:space="24" w:sz="4"/>
            <w:right w:val="double" w:color="000000" w:space="24" w:sz="4"/>
          </w:pgBorders>
          <w:pgNumType w:start="1"/>
        </w:sectPr>
      </w:pPr>
    </w:p>
    <w:p>
      <w:pPr>
        <w:pStyle w:val="ListParagraph"/>
        <w:numPr>
          <w:ilvl w:val="1"/>
          <w:numId w:val="6"/>
        </w:numPr>
        <w:tabs>
          <w:tab w:pos="2544" w:val="left" w:leader="none"/>
        </w:tabs>
        <w:spacing w:line="240" w:lineRule="auto" w:before="78" w:after="0"/>
        <w:ind w:left="2160" w:right="1453" w:firstLine="0"/>
        <w:jc w:val="left"/>
        <w:rPr>
          <w:rFonts w:ascii="Arial" w:hAnsi="Arial"/>
          <w:sz w:val="23"/>
        </w:rPr>
      </w:pPr>
      <w:r>
        <w:rPr>
          <w:rFonts w:ascii="Arial" w:hAnsi="Arial"/>
          <w:sz w:val="23"/>
        </w:rPr>
        <w:t>Preservation and Protection of the Right to Keep and Bear Arms in Motor</w:t>
      </w:r>
      <w:r>
        <w:rPr>
          <w:rFonts w:ascii="Arial" w:hAnsi="Arial"/>
          <w:spacing w:val="-22"/>
          <w:sz w:val="23"/>
        </w:rPr>
        <w:t> </w:t>
      </w:r>
      <w:r>
        <w:rPr>
          <w:rFonts w:ascii="Arial" w:hAnsi="Arial"/>
          <w:sz w:val="23"/>
        </w:rPr>
        <w:t>Vehicle Act of 2008 (Fla. Stat. §</w:t>
      </w:r>
      <w:r>
        <w:rPr>
          <w:rFonts w:ascii="Arial" w:hAnsi="Arial"/>
          <w:spacing w:val="1"/>
          <w:sz w:val="23"/>
        </w:rPr>
        <w:t> </w:t>
      </w:r>
      <w:r>
        <w:rPr>
          <w:rFonts w:ascii="Arial" w:hAnsi="Arial"/>
          <w:sz w:val="23"/>
        </w:rPr>
        <w:t>790.251)</w:t>
      </w:r>
    </w:p>
    <w:p>
      <w:pPr>
        <w:pStyle w:val="ListParagraph"/>
        <w:numPr>
          <w:ilvl w:val="1"/>
          <w:numId w:val="6"/>
        </w:numPr>
        <w:tabs>
          <w:tab w:pos="2544" w:val="left" w:leader="none"/>
        </w:tabs>
        <w:spacing w:line="240" w:lineRule="auto" w:before="0" w:after="0"/>
        <w:ind w:left="2160" w:right="1749" w:firstLine="0"/>
        <w:jc w:val="left"/>
        <w:rPr>
          <w:rFonts w:ascii="Arial" w:hAnsi="Arial"/>
          <w:sz w:val="23"/>
        </w:rPr>
      </w:pPr>
      <w:r>
        <w:rPr>
          <w:rFonts w:ascii="Arial" w:hAnsi="Arial"/>
          <w:sz w:val="23"/>
        </w:rPr>
        <w:t>Federal and state whistleblower protection laws (Sarbanes-Oxley, 18 U.S.C. § 1514A; Fla. Stat. §§ 112.3187,</w:t>
      </w:r>
      <w:r>
        <w:rPr>
          <w:rFonts w:ascii="Arial" w:hAnsi="Arial"/>
          <w:spacing w:val="2"/>
          <w:sz w:val="23"/>
        </w:rPr>
        <w:t> </w:t>
      </w:r>
      <w:r>
        <w:rPr>
          <w:rFonts w:ascii="Arial" w:hAnsi="Arial"/>
          <w:sz w:val="23"/>
        </w:rPr>
        <w:t>448.101-105)</w:t>
      </w:r>
    </w:p>
    <w:p>
      <w:pPr>
        <w:pStyle w:val="ListParagraph"/>
        <w:numPr>
          <w:ilvl w:val="1"/>
          <w:numId w:val="6"/>
        </w:numPr>
        <w:tabs>
          <w:tab w:pos="2544" w:val="left" w:leader="none"/>
        </w:tabs>
        <w:spacing w:line="264" w:lineRule="exact" w:before="0" w:after="0"/>
        <w:ind w:left="2543" w:right="0" w:hanging="384"/>
        <w:jc w:val="left"/>
        <w:rPr>
          <w:rFonts w:ascii="Arial" w:hAnsi="Arial"/>
          <w:sz w:val="23"/>
        </w:rPr>
      </w:pPr>
      <w:r>
        <w:rPr>
          <w:rFonts w:ascii="Arial" w:hAnsi="Arial"/>
          <w:sz w:val="23"/>
        </w:rPr>
        <w:t>Florida’s prohibition on Workers’ Compensation</w:t>
      </w:r>
      <w:r>
        <w:rPr>
          <w:rFonts w:ascii="Arial" w:hAnsi="Arial"/>
          <w:spacing w:val="-5"/>
          <w:sz w:val="23"/>
        </w:rPr>
        <w:t> </w:t>
      </w:r>
      <w:r>
        <w:rPr>
          <w:rFonts w:ascii="Arial" w:hAnsi="Arial"/>
          <w:sz w:val="23"/>
        </w:rPr>
        <w:t>retaliation</w:t>
      </w:r>
    </w:p>
    <w:p>
      <w:pPr>
        <w:pStyle w:val="ListParagraph"/>
        <w:numPr>
          <w:ilvl w:val="1"/>
          <w:numId w:val="6"/>
        </w:numPr>
        <w:tabs>
          <w:tab w:pos="2671" w:val="left" w:leader="none"/>
        </w:tabs>
        <w:spacing w:line="264" w:lineRule="exact" w:before="0" w:after="0"/>
        <w:ind w:left="2670" w:right="0" w:hanging="511"/>
        <w:jc w:val="left"/>
        <w:rPr>
          <w:rFonts w:ascii="Arial"/>
          <w:sz w:val="23"/>
        </w:rPr>
      </w:pPr>
      <w:r>
        <w:rPr>
          <w:rFonts w:ascii="Arial"/>
          <w:sz w:val="23"/>
        </w:rPr>
        <w:t>Fair Credit Reporting</w:t>
      </w:r>
      <w:r>
        <w:rPr>
          <w:rFonts w:ascii="Arial"/>
          <w:spacing w:val="-1"/>
          <w:sz w:val="23"/>
        </w:rPr>
        <w:t> </w:t>
      </w:r>
      <w:r>
        <w:rPr>
          <w:rFonts w:ascii="Arial"/>
          <w:sz w:val="23"/>
        </w:rPr>
        <w:t>Act</w:t>
      </w:r>
    </w:p>
    <w:p>
      <w:pPr>
        <w:pStyle w:val="ListParagraph"/>
        <w:numPr>
          <w:ilvl w:val="1"/>
          <w:numId w:val="6"/>
        </w:numPr>
        <w:tabs>
          <w:tab w:pos="2671" w:val="left" w:leader="none"/>
        </w:tabs>
        <w:spacing w:line="264" w:lineRule="exact" w:before="0" w:after="0"/>
        <w:ind w:left="2670" w:right="0" w:hanging="511"/>
        <w:jc w:val="left"/>
        <w:rPr>
          <w:rFonts w:ascii="Arial"/>
          <w:sz w:val="23"/>
        </w:rPr>
      </w:pPr>
      <w:r>
        <w:rPr>
          <w:rFonts w:ascii="Arial"/>
          <w:sz w:val="23"/>
        </w:rPr>
        <w:t>Non-compete</w:t>
      </w:r>
      <w:r>
        <w:rPr>
          <w:rFonts w:ascii="Arial"/>
          <w:spacing w:val="-2"/>
          <w:sz w:val="23"/>
        </w:rPr>
        <w:t> </w:t>
      </w:r>
      <w:r>
        <w:rPr>
          <w:rFonts w:ascii="Arial"/>
          <w:sz w:val="23"/>
        </w:rPr>
        <w:t>agreements</w:t>
      </w:r>
    </w:p>
    <w:p>
      <w:pPr>
        <w:pStyle w:val="ListParagraph"/>
        <w:numPr>
          <w:ilvl w:val="1"/>
          <w:numId w:val="6"/>
        </w:numPr>
        <w:tabs>
          <w:tab w:pos="2671" w:val="left" w:leader="none"/>
        </w:tabs>
        <w:spacing w:line="264" w:lineRule="exact" w:before="0" w:after="0"/>
        <w:ind w:left="2670" w:right="0" w:hanging="511"/>
        <w:jc w:val="left"/>
        <w:rPr>
          <w:rFonts w:ascii="Arial"/>
          <w:sz w:val="23"/>
        </w:rPr>
      </w:pPr>
      <w:r>
        <w:rPr>
          <w:rFonts w:ascii="Arial"/>
          <w:sz w:val="23"/>
        </w:rPr>
        <w:t>Employee Polygraph Protection</w:t>
      </w:r>
      <w:r>
        <w:rPr>
          <w:rFonts w:ascii="Arial"/>
          <w:spacing w:val="-4"/>
          <w:sz w:val="23"/>
        </w:rPr>
        <w:t> </w:t>
      </w:r>
      <w:r>
        <w:rPr>
          <w:rFonts w:ascii="Arial"/>
          <w:sz w:val="23"/>
        </w:rPr>
        <w:t>Act</w:t>
      </w:r>
    </w:p>
    <w:p>
      <w:pPr>
        <w:pStyle w:val="ListParagraph"/>
        <w:numPr>
          <w:ilvl w:val="1"/>
          <w:numId w:val="6"/>
        </w:numPr>
        <w:tabs>
          <w:tab w:pos="2671" w:val="left" w:leader="none"/>
        </w:tabs>
        <w:spacing w:line="240" w:lineRule="auto" w:before="2" w:after="0"/>
        <w:ind w:left="2670" w:right="0" w:hanging="511"/>
        <w:jc w:val="left"/>
        <w:rPr>
          <w:rFonts w:ascii="Arial" w:hAnsi="Arial"/>
          <w:sz w:val="23"/>
        </w:rPr>
      </w:pPr>
      <w:r>
        <w:rPr>
          <w:rFonts w:ascii="Arial" w:hAnsi="Arial"/>
          <w:sz w:val="23"/>
        </w:rPr>
        <w:t>Florida Statutes §§ 448.07 and</w:t>
      </w:r>
      <w:r>
        <w:rPr>
          <w:rFonts w:ascii="Arial" w:hAnsi="Arial"/>
          <w:spacing w:val="-3"/>
          <w:sz w:val="23"/>
        </w:rPr>
        <w:t> </w:t>
      </w:r>
      <w:r>
        <w:rPr>
          <w:rFonts w:ascii="Arial" w:hAnsi="Arial"/>
          <w:sz w:val="23"/>
        </w:rPr>
        <w:t>725.07</w:t>
      </w:r>
    </w:p>
    <w:p>
      <w:pPr>
        <w:pStyle w:val="BodyText"/>
        <w:spacing w:before="11"/>
        <w:rPr>
          <w:rFonts w:ascii="Arial"/>
          <w:sz w:val="22"/>
        </w:rPr>
      </w:pPr>
    </w:p>
    <w:p>
      <w:pPr>
        <w:spacing w:before="0"/>
        <w:ind w:left="1440" w:right="2176" w:firstLine="0"/>
        <w:jc w:val="left"/>
        <w:rPr>
          <w:rFonts w:ascii="Arial"/>
          <w:sz w:val="23"/>
        </w:rPr>
      </w:pPr>
      <w:r>
        <w:rPr>
          <w:rFonts w:ascii="Arial"/>
          <w:sz w:val="23"/>
        </w:rPr>
        <w:t>NOTE: The examination will include ethical issues arising in the practice of labor and employment law.</w:t>
      </w:r>
    </w:p>
    <w:p>
      <w:pPr>
        <w:spacing w:after="0"/>
        <w:jc w:val="left"/>
        <w:rPr>
          <w:rFonts w:ascii="Arial"/>
          <w:sz w:val="23"/>
        </w:rPr>
        <w:sectPr>
          <w:pgSz w:w="12240" w:h="15840"/>
          <w:pgMar w:header="0" w:footer="979" w:top="1360" w:bottom="1160" w:left="0" w:right="0"/>
          <w:pgBorders w:offsetFrom="page">
            <w:top w:val="double" w:color="000000" w:space="24" w:sz="4"/>
            <w:left w:val="double" w:color="000000" w:space="24" w:sz="4"/>
            <w:bottom w:val="double" w:color="000000" w:space="24" w:sz="4"/>
            <w:right w:val="double" w:color="000000" w:space="24" w:sz="4"/>
          </w:pgBorders>
        </w:sectPr>
      </w:pPr>
    </w:p>
    <w:p>
      <w:pPr>
        <w:pStyle w:val="BodyText"/>
        <w:spacing w:before="7"/>
        <w:rPr>
          <w:rFonts w:ascii="Arial"/>
          <w:sz w:val="20"/>
        </w:rPr>
      </w:pPr>
    </w:p>
    <w:p>
      <w:pPr>
        <w:pStyle w:val="Heading7"/>
        <w:spacing w:before="92"/>
        <w:rPr>
          <w:rFonts w:ascii="Arial"/>
          <w:i/>
        </w:rPr>
      </w:pPr>
      <w:bookmarkStart w:name="8 - Exhibit F - Margie Cooper Hall of Fa" w:id="25"/>
      <w:bookmarkEnd w:id="25"/>
      <w:r>
        <w:rPr>
          <w:b w:val="0"/>
          <w:i w:val="0"/>
        </w:rPr>
      </w:r>
      <w:bookmarkStart w:name="7 - Exhibit E -A Hall of fame nomination" w:id="26"/>
      <w:bookmarkEnd w:id="26"/>
      <w:r>
        <w:rPr>
          <w:b w:val="0"/>
          <w:i w:val="0"/>
        </w:rPr>
      </w:r>
      <w:r>
        <w:rPr>
          <w:rFonts w:ascii="Arial"/>
          <w:i/>
        </w:rPr>
        <w:t>Labor and Employment Law Section Hall of Fame</w:t>
      </w:r>
    </w:p>
    <w:p>
      <w:pPr>
        <w:spacing w:before="92"/>
        <w:ind w:left="3286" w:right="3286" w:firstLine="0"/>
        <w:jc w:val="center"/>
        <w:rPr>
          <w:rFonts w:ascii="Arial"/>
          <w:b/>
          <w:sz w:val="36"/>
        </w:rPr>
      </w:pPr>
      <w:r>
        <w:rPr>
          <w:rFonts w:ascii="Arial"/>
          <w:b/>
          <w:sz w:val="36"/>
        </w:rPr>
        <w:t>Nomination Form</w:t>
      </w:r>
    </w:p>
    <w:p>
      <w:pPr>
        <w:spacing w:line="249" w:lineRule="auto" w:before="176"/>
        <w:ind w:left="1080" w:right="1123" w:firstLine="0"/>
        <w:jc w:val="left"/>
        <w:rPr>
          <w:rFonts w:ascii="Arial"/>
          <w:b/>
          <w:sz w:val="20"/>
        </w:rPr>
      </w:pPr>
      <w:r>
        <w:rPr>
          <w:rFonts w:ascii="Arial"/>
          <w:i/>
          <w:sz w:val="20"/>
        </w:rPr>
        <w:t>Eligibility Guidelines for Nominating a Candidate</w:t>
      </w:r>
      <w:r>
        <w:rPr>
          <w:rFonts w:ascii="Arial"/>
          <w:sz w:val="20"/>
        </w:rPr>
        <w:t>: Hall of Fame recognition is a posthumous honor, granted only after death. Ordinarily, individuals nominated will have had significant involvement in both the Section and the active practice of labor and employment law in Florida for a substantial portion of his or her career. An individual who had a clear affinity with or connection to the Section but who was not a member may be considered if, on the whole, the individual is otherwise recognized as having had a profound and positive impact on the profession and the field of labor and employment law. </w:t>
      </w:r>
      <w:r>
        <w:rPr>
          <w:rFonts w:ascii="Arial"/>
          <w:b/>
          <w:sz w:val="20"/>
        </w:rPr>
        <w:t>Send form to: Angie Froelich, Section Administrator, The Florida Bar, 651 East Jefferson St., Tallahassee, FL 32399-2300.</w:t>
      </w:r>
    </w:p>
    <w:p>
      <w:pPr>
        <w:pStyle w:val="BodyText"/>
        <w:rPr>
          <w:rFonts w:ascii="Arial"/>
          <w:b/>
          <w:sz w:val="20"/>
        </w:rPr>
      </w:pPr>
    </w:p>
    <w:p>
      <w:pPr>
        <w:spacing w:after="0"/>
        <w:rPr>
          <w:rFonts w:ascii="Arial"/>
          <w:sz w:val="20"/>
        </w:rPr>
        <w:sectPr>
          <w:footerReference w:type="default" r:id="rId23"/>
          <w:pgSz w:w="12240" w:h="15840"/>
          <w:pgMar w:footer="0" w:header="0" w:top="920" w:bottom="280" w:left="0" w:right="0"/>
        </w:sectPr>
      </w:pPr>
    </w:p>
    <w:p>
      <w:pPr>
        <w:pStyle w:val="BodyText"/>
        <w:rPr>
          <w:rFonts w:ascii="Arial"/>
          <w:b/>
          <w:sz w:val="22"/>
        </w:rPr>
      </w:pPr>
    </w:p>
    <w:p>
      <w:pPr>
        <w:pStyle w:val="BodyText"/>
        <w:rPr>
          <w:rFonts w:ascii="Arial"/>
          <w:b/>
          <w:sz w:val="22"/>
        </w:rPr>
      </w:pPr>
    </w:p>
    <w:p>
      <w:pPr>
        <w:spacing w:before="150"/>
        <w:ind w:left="1080" w:right="0" w:firstLine="0"/>
        <w:jc w:val="left"/>
        <w:rPr>
          <w:rFonts w:ascii="Arial"/>
          <w:sz w:val="20"/>
        </w:rPr>
      </w:pPr>
      <w:r>
        <w:rPr>
          <w:rFonts w:ascii="Arial"/>
          <w:spacing w:val="-1"/>
          <w:sz w:val="20"/>
        </w:rPr>
        <w:t>Name:</w:t>
      </w:r>
    </w:p>
    <w:p>
      <w:pPr>
        <w:pStyle w:val="BodyText"/>
        <w:rPr>
          <w:rFonts w:ascii="Arial"/>
          <w:sz w:val="22"/>
        </w:rPr>
      </w:pPr>
      <w:r>
        <w:rPr/>
        <w:br w:type="column"/>
      </w:r>
      <w:r>
        <w:rPr>
          <w:rFonts w:ascii="Arial"/>
          <w:sz w:val="22"/>
        </w:rPr>
      </w:r>
    </w:p>
    <w:p>
      <w:pPr>
        <w:pStyle w:val="BodyText"/>
        <w:spacing w:before="10"/>
        <w:rPr>
          <w:rFonts w:ascii="Arial"/>
        </w:rPr>
      </w:pPr>
    </w:p>
    <w:p>
      <w:pPr>
        <w:spacing w:before="0"/>
        <w:ind w:left="78" w:right="0" w:firstLine="0"/>
        <w:jc w:val="left"/>
        <w:rPr>
          <w:rFonts w:ascii="Arial"/>
          <w:sz w:val="20"/>
        </w:rPr>
      </w:pPr>
      <w:r>
        <w:rPr>
          <w:rFonts w:ascii="Arial"/>
          <w:sz w:val="20"/>
        </w:rPr>
        <w:t>Margaret L. "Margie"</w:t>
      </w:r>
      <w:r>
        <w:rPr>
          <w:rFonts w:ascii="Arial"/>
          <w:spacing w:val="-3"/>
          <w:sz w:val="20"/>
        </w:rPr>
        <w:t> Cooper</w:t>
      </w:r>
    </w:p>
    <w:p>
      <w:pPr>
        <w:pStyle w:val="BodyText"/>
        <w:spacing w:before="8"/>
        <w:rPr>
          <w:rFonts w:ascii="Arial"/>
          <w:sz w:val="18"/>
        </w:rPr>
      </w:pPr>
      <w:r>
        <w:rPr/>
        <w:br w:type="column"/>
      </w:r>
      <w:r>
        <w:rPr>
          <w:rFonts w:ascii="Arial"/>
          <w:sz w:val="18"/>
        </w:rPr>
      </w:r>
    </w:p>
    <w:p>
      <w:pPr>
        <w:spacing w:before="1"/>
        <w:ind w:left="178" w:right="0" w:firstLine="0"/>
        <w:jc w:val="left"/>
        <w:rPr>
          <w:rFonts w:ascii="Arial"/>
          <w:b/>
          <w:sz w:val="20"/>
        </w:rPr>
      </w:pPr>
      <w:r>
        <w:rPr>
          <w:rFonts w:ascii="Arial"/>
          <w:b/>
          <w:sz w:val="20"/>
        </w:rPr>
        <w:t>About the Nominee (please print)</w:t>
      </w:r>
    </w:p>
    <w:p>
      <w:pPr>
        <w:spacing w:after="0"/>
        <w:jc w:val="left"/>
        <w:rPr>
          <w:rFonts w:ascii="Arial"/>
          <w:sz w:val="20"/>
        </w:rPr>
        <w:sectPr>
          <w:type w:val="continuous"/>
          <w:pgSz w:w="12240" w:h="15840"/>
          <w:pgMar w:top="540" w:bottom="280" w:left="0" w:right="0"/>
          <w:cols w:num="3" w:equalWidth="0">
            <w:col w:w="1669" w:space="40"/>
            <w:col w:w="2621" w:space="39"/>
            <w:col w:w="7871"/>
          </w:cols>
        </w:sectPr>
      </w:pPr>
    </w:p>
    <w:p>
      <w:pPr>
        <w:spacing w:before="100"/>
        <w:ind w:left="1080" w:right="0" w:firstLine="0"/>
        <w:jc w:val="left"/>
        <w:rPr>
          <w:rFonts w:ascii="Arial"/>
          <w:sz w:val="20"/>
        </w:rPr>
      </w:pPr>
      <w:r>
        <w:rPr>
          <w:rFonts w:ascii="Arial"/>
          <w:sz w:val="20"/>
        </w:rPr>
        <w:t>Year Nominee Passed Away: </w:t>
      </w:r>
      <w:r>
        <w:rPr>
          <w:rFonts w:ascii="Arial"/>
          <w:position w:val="11"/>
          <w:sz w:val="20"/>
        </w:rPr>
        <w:t>2019</w:t>
      </w:r>
    </w:p>
    <w:p>
      <w:pPr>
        <w:pStyle w:val="BodyText"/>
        <w:spacing w:before="1"/>
        <w:rPr>
          <w:rFonts w:ascii="Arial"/>
          <w:sz w:val="10"/>
        </w:rPr>
      </w:pPr>
    </w:p>
    <w:p>
      <w:pPr>
        <w:spacing w:after="0"/>
        <w:rPr>
          <w:rFonts w:ascii="Arial"/>
          <w:sz w:val="10"/>
        </w:rPr>
        <w:sectPr>
          <w:type w:val="continuous"/>
          <w:pgSz w:w="12240" w:h="15840"/>
          <w:pgMar w:top="540" w:bottom="280" w:left="0" w:right="0"/>
        </w:sectPr>
      </w:pPr>
    </w:p>
    <w:p>
      <w:pPr>
        <w:spacing w:before="94"/>
        <w:ind w:left="1080" w:right="0" w:firstLine="0"/>
        <w:jc w:val="left"/>
        <w:rPr>
          <w:rFonts w:ascii="Arial"/>
          <w:sz w:val="20"/>
        </w:rPr>
      </w:pPr>
      <w:r>
        <w:rPr/>
        <w:pict>
          <v:shape style="position:absolute;margin-left:175.919998pt;margin-top:5.090632pt;width:8.950pt;height:11.1pt;mso-position-horizontal-relative:page;mso-position-vertical-relative:paragraph;z-index:-253897728" type="#_x0000_t202" filled="false" stroked="false">
            <v:textbox inset="0,0,0,0">
              <w:txbxContent>
                <w:p>
                  <w:pPr>
                    <w:spacing w:before="0"/>
                    <w:ind w:left="0" w:right="0" w:firstLine="0"/>
                    <w:jc w:val="left"/>
                    <w:rPr>
                      <w:rFonts w:ascii="Wingdings" w:hAnsi="Wingdings"/>
                      <w:sz w:val="20"/>
                    </w:rPr>
                  </w:pPr>
                  <w:r>
                    <w:rPr>
                      <w:rFonts w:ascii="Wingdings" w:hAnsi="Wingdings"/>
                      <w:sz w:val="20"/>
                    </w:rPr>
                    <w:t></w:t>
                  </w:r>
                </w:p>
              </w:txbxContent>
            </v:textbox>
            <w10:wrap type="none"/>
          </v:shape>
        </w:pict>
      </w:r>
      <w:r>
        <w:rPr>
          <w:rFonts w:ascii="Arial"/>
          <w:spacing w:val="-3"/>
          <w:sz w:val="20"/>
        </w:rPr>
        <w:t>Was </w:t>
      </w:r>
      <w:r>
        <w:rPr>
          <w:rFonts w:ascii="Arial"/>
          <w:sz w:val="20"/>
        </w:rPr>
        <w:t>nominee an attorney?</w:t>
      </w:r>
    </w:p>
    <w:p>
      <w:pPr>
        <w:tabs>
          <w:tab w:pos="1006" w:val="left" w:leader="none"/>
          <w:tab w:pos="1662" w:val="left" w:leader="none"/>
        </w:tabs>
        <w:spacing w:before="94"/>
        <w:ind w:left="64" w:right="0" w:firstLine="0"/>
        <w:jc w:val="left"/>
        <w:rPr>
          <w:rFonts w:ascii="Arial" w:hAnsi="Arial"/>
          <w:sz w:val="20"/>
        </w:rPr>
      </w:pPr>
      <w:r>
        <w:rPr/>
        <w:br w:type="column"/>
      </w:r>
      <w:r>
        <w:rPr>
          <w:rFonts w:ascii="MS UI Gothic" w:hAnsi="MS UI Gothic"/>
          <w:position w:val="3"/>
          <w:sz w:val="8"/>
        </w:rPr>
        <w:t>✔   </w:t>
      </w:r>
      <w:r>
        <w:rPr>
          <w:rFonts w:ascii="MS UI Gothic" w:hAnsi="MS UI Gothic"/>
          <w:spacing w:val="5"/>
          <w:position w:val="3"/>
          <w:sz w:val="8"/>
        </w:rPr>
        <w:t> </w:t>
      </w:r>
      <w:r>
        <w:rPr>
          <w:rFonts w:ascii="Arial" w:hAnsi="Arial"/>
          <w:spacing w:val="-7"/>
          <w:sz w:val="20"/>
        </w:rPr>
        <w:t>Yes</w:t>
        <w:tab/>
      </w:r>
      <w:r>
        <w:rPr>
          <w:rFonts w:ascii="Arial" w:hAnsi="Arial"/>
          <w:sz w:val="20"/>
        </w:rPr>
        <w:t>No</w:t>
        <w:tab/>
      </w:r>
      <w:r>
        <w:rPr>
          <w:rFonts w:ascii="Arial" w:hAnsi="Arial"/>
          <w:spacing w:val="-3"/>
          <w:sz w:val="20"/>
        </w:rPr>
        <w:t>Was </w:t>
      </w:r>
      <w:r>
        <w:rPr>
          <w:rFonts w:ascii="Arial" w:hAnsi="Arial"/>
          <w:sz w:val="20"/>
        </w:rPr>
        <w:t>nominee a Section</w:t>
      </w:r>
      <w:r>
        <w:rPr>
          <w:rFonts w:ascii="Arial" w:hAnsi="Arial"/>
          <w:spacing w:val="-6"/>
          <w:sz w:val="20"/>
        </w:rPr>
        <w:t> </w:t>
      </w:r>
      <w:r>
        <w:rPr>
          <w:rFonts w:ascii="Arial" w:hAnsi="Arial"/>
          <w:sz w:val="20"/>
        </w:rPr>
        <w:t>member?</w:t>
      </w:r>
    </w:p>
    <w:p>
      <w:pPr>
        <w:tabs>
          <w:tab w:pos="865" w:val="left" w:leader="none"/>
        </w:tabs>
        <w:spacing w:before="94"/>
        <w:ind w:left="75" w:right="0" w:firstLine="0"/>
        <w:jc w:val="left"/>
        <w:rPr>
          <w:rFonts w:ascii="Arial" w:hAnsi="Arial"/>
          <w:sz w:val="20"/>
        </w:rPr>
      </w:pPr>
      <w:r>
        <w:rPr/>
        <w:br w:type="column"/>
      </w:r>
      <w:r>
        <w:rPr>
          <w:rFonts w:ascii="MS UI Gothic" w:hAnsi="MS UI Gothic"/>
          <w:position w:val="3"/>
          <w:sz w:val="8"/>
        </w:rPr>
        <w:t>✔  </w:t>
      </w:r>
      <w:r>
        <w:rPr>
          <w:rFonts w:ascii="MS UI Gothic" w:hAnsi="MS UI Gothic"/>
          <w:spacing w:val="21"/>
          <w:position w:val="3"/>
          <w:sz w:val="8"/>
        </w:rPr>
        <w:t> </w:t>
      </w:r>
      <w:r>
        <w:rPr>
          <w:rFonts w:ascii="Arial" w:hAnsi="Arial"/>
          <w:spacing w:val="-7"/>
          <w:sz w:val="20"/>
        </w:rPr>
        <w:t>Yes</w:t>
        <w:tab/>
      </w:r>
      <w:r>
        <w:rPr>
          <w:rFonts w:ascii="Arial" w:hAnsi="Arial"/>
          <w:sz w:val="20"/>
        </w:rPr>
        <w:t>No</w:t>
      </w:r>
    </w:p>
    <w:p>
      <w:pPr>
        <w:spacing w:after="0"/>
        <w:jc w:val="left"/>
        <w:rPr>
          <w:rFonts w:ascii="Arial" w:hAnsi="Arial"/>
          <w:sz w:val="20"/>
        </w:rPr>
        <w:sectPr>
          <w:type w:val="continuous"/>
          <w:pgSz w:w="12240" w:h="15840"/>
          <w:pgMar w:top="540" w:bottom="280" w:left="0" w:right="0"/>
          <w:cols w:num="3" w:equalWidth="0">
            <w:col w:w="3463" w:space="40"/>
            <w:col w:w="4667" w:space="39"/>
            <w:col w:w="4031"/>
          </w:cols>
        </w:sectPr>
      </w:pPr>
    </w:p>
    <w:p>
      <w:pPr>
        <w:pStyle w:val="BodyText"/>
        <w:spacing w:before="1"/>
        <w:rPr>
          <w:rFonts w:ascii="Arial"/>
          <w:sz w:val="10"/>
        </w:rPr>
      </w:pPr>
    </w:p>
    <w:p>
      <w:pPr>
        <w:tabs>
          <w:tab w:pos="11005" w:val="left" w:leader="none"/>
        </w:tabs>
        <w:spacing w:before="94"/>
        <w:ind w:left="1079" w:right="0" w:firstLine="0"/>
        <w:jc w:val="left"/>
        <w:rPr>
          <w:rFonts w:ascii="Arial"/>
          <w:sz w:val="20"/>
        </w:rPr>
      </w:pPr>
      <w:r>
        <w:rPr/>
        <w:pict>
          <v:shape style="position:absolute;margin-left:213.740005pt;margin-top:-16.909367pt;width:8.950pt;height:11.1pt;mso-position-horizontal-relative:page;mso-position-vertical-relative:paragraph;z-index:-253896704" type="#_x0000_t202" filled="false" stroked="false">
            <v:textbox inset="0,0,0,0">
              <w:txbxContent>
                <w:p>
                  <w:pPr>
                    <w:spacing w:before="0"/>
                    <w:ind w:left="0" w:right="0" w:firstLine="0"/>
                    <w:jc w:val="left"/>
                    <w:rPr>
                      <w:rFonts w:ascii="Wingdings" w:hAnsi="Wingdings"/>
                      <w:sz w:val="20"/>
                    </w:rPr>
                  </w:pPr>
                  <w:r>
                    <w:rPr>
                      <w:rFonts w:ascii="Wingdings" w:hAnsi="Wingdings"/>
                      <w:sz w:val="20"/>
                    </w:rPr>
                    <w:t></w:t>
                  </w:r>
                </w:p>
              </w:txbxContent>
            </v:textbox>
            <w10:wrap type="none"/>
          </v:shape>
        </w:pict>
      </w:r>
      <w:r>
        <w:rPr/>
        <w:pict>
          <v:shape style="position:absolute;margin-left:411.23999pt;margin-top:-16.909367pt;width:8.950pt;height:11.1pt;mso-position-horizontal-relative:page;mso-position-vertical-relative:paragraph;z-index:-253895680" type="#_x0000_t202" filled="false" stroked="false">
            <v:textbox inset="0,0,0,0">
              <w:txbxContent>
                <w:p>
                  <w:pPr>
                    <w:spacing w:before="0"/>
                    <w:ind w:left="0" w:right="0" w:firstLine="0"/>
                    <w:jc w:val="left"/>
                    <w:rPr>
                      <w:rFonts w:ascii="Wingdings" w:hAnsi="Wingdings"/>
                      <w:sz w:val="20"/>
                    </w:rPr>
                  </w:pPr>
                  <w:r>
                    <w:rPr>
                      <w:rFonts w:ascii="Wingdings" w:hAnsi="Wingdings"/>
                      <w:sz w:val="20"/>
                    </w:rPr>
                    <w:t></w:t>
                  </w:r>
                </w:p>
              </w:txbxContent>
            </v:textbox>
            <w10:wrap type="none"/>
          </v:shape>
        </w:pict>
      </w:r>
      <w:r>
        <w:rPr/>
        <w:pict>
          <v:shape style="position:absolute;margin-left:442.018585pt;margin-top:-16.909367pt;width:8.950pt;height:11.1pt;mso-position-horizontal-relative:page;mso-position-vertical-relative:paragraph;z-index:-253894656" type="#_x0000_t202" filled="false" stroked="false">
            <v:textbox inset="0,0,0,0">
              <w:txbxContent>
                <w:p>
                  <w:pPr>
                    <w:spacing w:before="0"/>
                    <w:ind w:left="0" w:right="0" w:firstLine="0"/>
                    <w:jc w:val="left"/>
                    <w:rPr>
                      <w:rFonts w:ascii="Wingdings" w:hAnsi="Wingdings"/>
                      <w:sz w:val="20"/>
                    </w:rPr>
                  </w:pPr>
                  <w:r>
                    <w:rPr>
                      <w:rFonts w:ascii="Wingdings" w:hAnsi="Wingdings"/>
                      <w:sz w:val="20"/>
                    </w:rPr>
                    <w:t></w:t>
                  </w:r>
                </w:p>
              </w:txbxContent>
            </v:textbox>
            <w10:wrap type="none"/>
          </v:shape>
        </w:pict>
      </w:r>
      <w:r>
        <w:rPr>
          <w:rFonts w:ascii="Arial"/>
          <w:sz w:val="20"/>
        </w:rPr>
        <w:t>Last Known Employment Affiliation Before Death (i.e., firm name, </w:t>
      </w:r>
      <w:r>
        <w:rPr>
          <w:rFonts w:ascii="Arial"/>
          <w:spacing w:val="-2"/>
          <w:sz w:val="20"/>
        </w:rPr>
        <w:t>employer,</w:t>
      </w:r>
      <w:r>
        <w:rPr>
          <w:rFonts w:ascii="Arial"/>
          <w:spacing w:val="-30"/>
          <w:sz w:val="20"/>
        </w:rPr>
        <w:t> </w:t>
      </w:r>
      <w:r>
        <w:rPr>
          <w:rFonts w:ascii="Arial"/>
          <w:sz w:val="20"/>
        </w:rPr>
        <w:t>etc.):</w:t>
      </w:r>
      <w:r>
        <w:rPr>
          <w:rFonts w:ascii="Arial"/>
          <w:spacing w:val="4"/>
          <w:sz w:val="20"/>
        </w:rPr>
        <w:t> </w:t>
      </w:r>
      <w:r>
        <w:rPr>
          <w:rFonts w:ascii="Arial"/>
          <w:w w:val="210"/>
          <w:sz w:val="20"/>
          <w:u w:val="single"/>
        </w:rPr>
        <w:t> </w:t>
      </w:r>
      <w:r>
        <w:rPr>
          <w:rFonts w:ascii="Arial"/>
          <w:sz w:val="20"/>
          <w:u w:val="single"/>
        </w:rPr>
        <w:tab/>
      </w:r>
    </w:p>
    <w:p>
      <w:pPr>
        <w:spacing w:before="95"/>
        <w:ind w:left="1120" w:right="0" w:firstLine="0"/>
        <w:jc w:val="left"/>
        <w:rPr>
          <w:rFonts w:ascii="Arial"/>
          <w:sz w:val="20"/>
        </w:rPr>
      </w:pPr>
      <w:r>
        <w:rPr>
          <w:rFonts w:ascii="Arial"/>
          <w:sz w:val="20"/>
        </w:rPr>
        <w:t>Jones, Foster, Johnston &amp; Stubbs, P.A.</w:t>
      </w:r>
    </w:p>
    <w:p>
      <w:pPr>
        <w:pStyle w:val="BodyText"/>
        <w:spacing w:before="1"/>
        <w:rPr>
          <w:rFonts w:ascii="Arial"/>
          <w:sz w:val="20"/>
        </w:rPr>
      </w:pPr>
    </w:p>
    <w:p>
      <w:pPr>
        <w:tabs>
          <w:tab w:pos="11003" w:val="left" w:leader="none"/>
        </w:tabs>
        <w:spacing w:before="94"/>
        <w:ind w:left="1079" w:right="0" w:firstLine="0"/>
        <w:jc w:val="left"/>
        <w:rPr>
          <w:rFonts w:ascii="Arial"/>
          <w:sz w:val="20"/>
        </w:rPr>
      </w:pPr>
      <w:r>
        <w:rPr>
          <w:rFonts w:ascii="Arial"/>
          <w:sz w:val="20"/>
        </w:rPr>
        <w:t>Other Honors, Awards, or</w:t>
      </w:r>
      <w:r>
        <w:rPr>
          <w:rFonts w:ascii="Arial"/>
          <w:spacing w:val="-41"/>
          <w:sz w:val="20"/>
        </w:rPr>
        <w:t> </w:t>
      </w:r>
      <w:r>
        <w:rPr>
          <w:rFonts w:ascii="Arial"/>
          <w:sz w:val="20"/>
        </w:rPr>
        <w:t>Affiliations:</w:t>
      </w:r>
      <w:r>
        <w:rPr>
          <w:rFonts w:ascii="Arial"/>
          <w:spacing w:val="17"/>
          <w:sz w:val="20"/>
        </w:rPr>
        <w:t> </w:t>
      </w:r>
      <w:r>
        <w:rPr>
          <w:rFonts w:ascii="Arial"/>
          <w:w w:val="210"/>
          <w:sz w:val="20"/>
          <w:u w:val="single"/>
        </w:rPr>
        <w:t> </w:t>
      </w:r>
      <w:r>
        <w:rPr>
          <w:rFonts w:ascii="Arial"/>
          <w:sz w:val="20"/>
          <w:u w:val="single"/>
        </w:rPr>
        <w:tab/>
      </w:r>
    </w:p>
    <w:p>
      <w:pPr>
        <w:pStyle w:val="BodyText"/>
        <w:rPr>
          <w:rFonts w:ascii="Arial"/>
          <w:sz w:val="20"/>
        </w:rPr>
      </w:pPr>
    </w:p>
    <w:p>
      <w:pPr>
        <w:pStyle w:val="BodyText"/>
        <w:spacing w:before="4"/>
        <w:rPr>
          <w:rFonts w:ascii="Arial"/>
          <w:sz w:val="28"/>
        </w:rPr>
      </w:pPr>
    </w:p>
    <w:p>
      <w:pPr>
        <w:spacing w:before="94"/>
        <w:ind w:left="1079" w:right="0" w:firstLine="0"/>
        <w:jc w:val="left"/>
        <w:rPr>
          <w:rFonts w:ascii="Arial"/>
          <w:b/>
          <w:i/>
          <w:sz w:val="20"/>
        </w:rPr>
      </w:pPr>
      <w:r>
        <w:rPr>
          <w:rFonts w:ascii="Arial"/>
          <w:b/>
          <w:i/>
          <w:sz w:val="20"/>
        </w:rPr>
        <w:t>Criteria for Admission</w:t>
      </w:r>
    </w:p>
    <w:p>
      <w:pPr>
        <w:spacing w:before="150"/>
        <w:ind w:left="1079" w:right="0" w:firstLine="0"/>
        <w:jc w:val="left"/>
        <w:rPr>
          <w:rFonts w:ascii="Arial"/>
          <w:sz w:val="20"/>
        </w:rPr>
      </w:pPr>
      <w:r>
        <w:rPr>
          <w:rFonts w:ascii="Arial"/>
          <w:sz w:val="20"/>
        </w:rPr>
        <w:t>To be selected for the Hall of Fame, a candidate must meet the following criteria:</w:t>
      </w:r>
    </w:p>
    <w:p>
      <w:pPr>
        <w:pStyle w:val="ListParagraph"/>
        <w:numPr>
          <w:ilvl w:val="1"/>
          <w:numId w:val="3"/>
        </w:numPr>
        <w:tabs>
          <w:tab w:pos="1799" w:val="left" w:leader="none"/>
          <w:tab w:pos="1800" w:val="left" w:leader="none"/>
        </w:tabs>
        <w:spacing w:line="247" w:lineRule="auto" w:before="116" w:after="0"/>
        <w:ind w:left="1799" w:right="1668" w:hanging="360"/>
        <w:jc w:val="left"/>
        <w:rPr>
          <w:rFonts w:ascii="Arial" w:hAnsi="Arial"/>
          <w:sz w:val="20"/>
        </w:rPr>
      </w:pPr>
      <w:r>
        <w:rPr>
          <w:rFonts w:ascii="Arial" w:hAnsi="Arial"/>
          <w:sz w:val="20"/>
        </w:rPr>
        <w:t>The</w:t>
      </w:r>
      <w:r>
        <w:rPr>
          <w:rFonts w:ascii="Arial" w:hAnsi="Arial"/>
          <w:spacing w:val="-3"/>
          <w:sz w:val="20"/>
        </w:rPr>
        <w:t> </w:t>
      </w:r>
      <w:r>
        <w:rPr>
          <w:rFonts w:ascii="Arial" w:hAnsi="Arial"/>
          <w:sz w:val="20"/>
        </w:rPr>
        <w:t>candidate</w:t>
      </w:r>
      <w:r>
        <w:rPr>
          <w:rFonts w:ascii="Arial" w:hAnsi="Arial"/>
          <w:spacing w:val="-2"/>
          <w:sz w:val="20"/>
        </w:rPr>
        <w:t> </w:t>
      </w:r>
      <w:r>
        <w:rPr>
          <w:rFonts w:ascii="Arial" w:hAnsi="Arial"/>
          <w:sz w:val="20"/>
        </w:rPr>
        <w:t>must</w:t>
      </w:r>
      <w:r>
        <w:rPr>
          <w:rFonts w:ascii="Arial" w:hAnsi="Arial"/>
          <w:spacing w:val="-2"/>
          <w:sz w:val="20"/>
        </w:rPr>
        <w:t> </w:t>
      </w:r>
      <w:r>
        <w:rPr>
          <w:rFonts w:ascii="Arial" w:hAnsi="Arial"/>
          <w:sz w:val="20"/>
        </w:rPr>
        <w:t>have</w:t>
      </w:r>
      <w:r>
        <w:rPr>
          <w:rFonts w:ascii="Arial" w:hAnsi="Arial"/>
          <w:spacing w:val="-3"/>
          <w:sz w:val="20"/>
        </w:rPr>
        <w:t> </w:t>
      </w:r>
      <w:r>
        <w:rPr>
          <w:rFonts w:ascii="Arial" w:hAnsi="Arial"/>
          <w:sz w:val="20"/>
        </w:rPr>
        <w:t>excelled</w:t>
      </w:r>
      <w:r>
        <w:rPr>
          <w:rFonts w:ascii="Arial" w:hAnsi="Arial"/>
          <w:spacing w:val="-3"/>
          <w:sz w:val="20"/>
        </w:rPr>
        <w:t> </w:t>
      </w:r>
      <w:r>
        <w:rPr>
          <w:rFonts w:ascii="Arial" w:hAnsi="Arial"/>
          <w:sz w:val="20"/>
        </w:rPr>
        <w:t>in</w:t>
      </w:r>
      <w:r>
        <w:rPr>
          <w:rFonts w:ascii="Arial" w:hAnsi="Arial"/>
          <w:spacing w:val="-4"/>
          <w:sz w:val="20"/>
        </w:rPr>
        <w:t> </w:t>
      </w:r>
      <w:r>
        <w:rPr>
          <w:rFonts w:ascii="Arial" w:hAnsi="Arial"/>
          <w:sz w:val="20"/>
        </w:rPr>
        <w:t>the</w:t>
      </w:r>
      <w:r>
        <w:rPr>
          <w:rFonts w:ascii="Arial" w:hAnsi="Arial"/>
          <w:spacing w:val="-2"/>
          <w:sz w:val="20"/>
        </w:rPr>
        <w:t> </w:t>
      </w:r>
      <w:r>
        <w:rPr>
          <w:rFonts w:ascii="Arial" w:hAnsi="Arial"/>
          <w:sz w:val="20"/>
        </w:rPr>
        <w:t>field</w:t>
      </w:r>
      <w:r>
        <w:rPr>
          <w:rFonts w:ascii="Arial" w:hAnsi="Arial"/>
          <w:spacing w:val="-2"/>
          <w:sz w:val="20"/>
        </w:rPr>
        <w:t> </w:t>
      </w:r>
      <w:r>
        <w:rPr>
          <w:rFonts w:ascii="Arial" w:hAnsi="Arial"/>
          <w:sz w:val="20"/>
        </w:rPr>
        <w:t>of</w:t>
      </w:r>
      <w:r>
        <w:rPr>
          <w:rFonts w:ascii="Arial" w:hAnsi="Arial"/>
          <w:spacing w:val="-3"/>
          <w:sz w:val="20"/>
        </w:rPr>
        <w:t> </w:t>
      </w:r>
      <w:r>
        <w:rPr>
          <w:rFonts w:ascii="Arial" w:hAnsi="Arial"/>
          <w:sz w:val="20"/>
        </w:rPr>
        <w:t>labor</w:t>
      </w:r>
      <w:r>
        <w:rPr>
          <w:rFonts w:ascii="Arial" w:hAnsi="Arial"/>
          <w:spacing w:val="-3"/>
          <w:sz w:val="20"/>
        </w:rPr>
        <w:t> </w:t>
      </w:r>
      <w:r>
        <w:rPr>
          <w:rFonts w:ascii="Arial" w:hAnsi="Arial"/>
          <w:sz w:val="20"/>
        </w:rPr>
        <w:t>and</w:t>
      </w:r>
      <w:r>
        <w:rPr>
          <w:rFonts w:ascii="Arial" w:hAnsi="Arial"/>
          <w:spacing w:val="-3"/>
          <w:sz w:val="20"/>
        </w:rPr>
        <w:t> </w:t>
      </w:r>
      <w:r>
        <w:rPr>
          <w:rFonts w:ascii="Arial" w:hAnsi="Arial"/>
          <w:sz w:val="20"/>
        </w:rPr>
        <w:t>employment</w:t>
      </w:r>
      <w:r>
        <w:rPr>
          <w:rFonts w:ascii="Arial" w:hAnsi="Arial"/>
          <w:spacing w:val="-4"/>
          <w:sz w:val="20"/>
        </w:rPr>
        <w:t> </w:t>
      </w:r>
      <w:r>
        <w:rPr>
          <w:rFonts w:ascii="Arial" w:hAnsi="Arial"/>
          <w:sz w:val="20"/>
        </w:rPr>
        <w:t>law</w:t>
      </w:r>
      <w:r>
        <w:rPr>
          <w:rFonts w:ascii="Arial" w:hAnsi="Arial"/>
          <w:spacing w:val="-3"/>
          <w:sz w:val="20"/>
        </w:rPr>
        <w:t> </w:t>
      </w:r>
      <w:r>
        <w:rPr>
          <w:rFonts w:ascii="Arial" w:hAnsi="Arial"/>
          <w:sz w:val="20"/>
        </w:rPr>
        <w:t>and/or</w:t>
      </w:r>
      <w:r>
        <w:rPr>
          <w:rFonts w:ascii="Arial" w:hAnsi="Arial"/>
          <w:spacing w:val="-3"/>
          <w:sz w:val="20"/>
        </w:rPr>
        <w:t> </w:t>
      </w:r>
      <w:r>
        <w:rPr>
          <w:rFonts w:ascii="Arial" w:hAnsi="Arial"/>
          <w:sz w:val="20"/>
        </w:rPr>
        <w:t>must</w:t>
      </w:r>
      <w:r>
        <w:rPr>
          <w:rFonts w:ascii="Arial" w:hAnsi="Arial"/>
          <w:spacing w:val="-2"/>
          <w:sz w:val="20"/>
        </w:rPr>
        <w:t> </w:t>
      </w:r>
      <w:r>
        <w:rPr>
          <w:rFonts w:ascii="Arial" w:hAnsi="Arial"/>
          <w:sz w:val="20"/>
        </w:rPr>
        <w:t>have</w:t>
      </w:r>
      <w:r>
        <w:rPr>
          <w:rFonts w:ascii="Arial" w:hAnsi="Arial"/>
          <w:spacing w:val="-3"/>
          <w:sz w:val="20"/>
        </w:rPr>
        <w:t> </w:t>
      </w:r>
      <w:r>
        <w:rPr>
          <w:rFonts w:ascii="Arial" w:hAnsi="Arial"/>
          <w:sz w:val="20"/>
        </w:rPr>
        <w:t>had</w:t>
      </w:r>
      <w:r>
        <w:rPr>
          <w:rFonts w:ascii="Arial" w:hAnsi="Arial"/>
          <w:spacing w:val="-3"/>
          <w:sz w:val="20"/>
        </w:rPr>
        <w:t> </w:t>
      </w:r>
      <w:r>
        <w:rPr>
          <w:rFonts w:ascii="Arial" w:hAnsi="Arial"/>
          <w:sz w:val="20"/>
        </w:rPr>
        <w:t>a profound positive influence on the field during his or her professional</w:t>
      </w:r>
      <w:r>
        <w:rPr>
          <w:rFonts w:ascii="Arial" w:hAnsi="Arial"/>
          <w:spacing w:val="-21"/>
          <w:sz w:val="20"/>
        </w:rPr>
        <w:t> </w:t>
      </w:r>
      <w:r>
        <w:rPr>
          <w:rFonts w:ascii="Arial" w:hAnsi="Arial"/>
          <w:sz w:val="20"/>
        </w:rPr>
        <w:t>career.</w:t>
      </w:r>
    </w:p>
    <w:p>
      <w:pPr>
        <w:pStyle w:val="ListParagraph"/>
        <w:numPr>
          <w:ilvl w:val="1"/>
          <w:numId w:val="3"/>
        </w:numPr>
        <w:tabs>
          <w:tab w:pos="1799" w:val="left" w:leader="none"/>
          <w:tab w:pos="1800" w:val="left" w:leader="none"/>
        </w:tabs>
        <w:spacing w:line="247" w:lineRule="auto" w:before="111" w:after="0"/>
        <w:ind w:left="1799" w:right="1082" w:hanging="360"/>
        <w:jc w:val="left"/>
        <w:rPr>
          <w:rFonts w:ascii="Arial" w:hAnsi="Arial"/>
          <w:sz w:val="20"/>
        </w:rPr>
      </w:pPr>
      <w:r>
        <w:rPr>
          <w:rFonts w:ascii="Arial" w:hAnsi="Arial"/>
          <w:sz w:val="20"/>
        </w:rPr>
        <w:t>The candidate’s professional success and significant contributions must be recognized by his or her</w:t>
      </w:r>
      <w:r>
        <w:rPr>
          <w:rFonts w:ascii="Arial" w:hAnsi="Arial"/>
          <w:spacing w:val="-35"/>
          <w:sz w:val="20"/>
        </w:rPr>
        <w:t> </w:t>
      </w:r>
      <w:r>
        <w:rPr>
          <w:rFonts w:ascii="Arial" w:hAnsi="Arial"/>
          <w:sz w:val="20"/>
        </w:rPr>
        <w:t>peers as having reached and remained at the pinnacle of his or her</w:t>
      </w:r>
      <w:r>
        <w:rPr>
          <w:rFonts w:ascii="Arial" w:hAnsi="Arial"/>
          <w:spacing w:val="-13"/>
          <w:sz w:val="20"/>
        </w:rPr>
        <w:t> </w:t>
      </w:r>
      <w:r>
        <w:rPr>
          <w:rFonts w:ascii="Arial" w:hAnsi="Arial"/>
          <w:sz w:val="20"/>
        </w:rPr>
        <w:t>field.</w:t>
      </w:r>
    </w:p>
    <w:p>
      <w:pPr>
        <w:pStyle w:val="ListParagraph"/>
        <w:numPr>
          <w:ilvl w:val="1"/>
          <w:numId w:val="3"/>
        </w:numPr>
        <w:tabs>
          <w:tab w:pos="1799" w:val="left" w:leader="none"/>
          <w:tab w:pos="1800" w:val="left" w:leader="none"/>
        </w:tabs>
        <w:spacing w:line="249" w:lineRule="auto" w:before="111" w:after="0"/>
        <w:ind w:left="1799" w:right="1313" w:hanging="360"/>
        <w:jc w:val="left"/>
        <w:rPr>
          <w:rFonts w:ascii="Arial" w:hAnsi="Arial"/>
          <w:sz w:val="20"/>
        </w:rPr>
      </w:pPr>
      <w:r>
        <w:rPr>
          <w:rFonts w:ascii="Arial" w:hAnsi="Arial"/>
          <w:sz w:val="20"/>
        </w:rPr>
        <w:t>Evidence that the articulated criteria have been met may come from detailed information about the candidate’s credentials, achievements, the impact and implications of those accomplishments, public awards</w:t>
      </w:r>
      <w:r>
        <w:rPr>
          <w:rFonts w:ascii="Arial" w:hAnsi="Arial"/>
          <w:spacing w:val="-6"/>
          <w:sz w:val="20"/>
        </w:rPr>
        <w:t> </w:t>
      </w:r>
      <w:r>
        <w:rPr>
          <w:rFonts w:ascii="Arial" w:hAnsi="Arial"/>
          <w:sz w:val="20"/>
        </w:rPr>
        <w:t>and</w:t>
      </w:r>
      <w:r>
        <w:rPr>
          <w:rFonts w:ascii="Arial" w:hAnsi="Arial"/>
          <w:spacing w:val="-5"/>
          <w:sz w:val="20"/>
        </w:rPr>
        <w:t> </w:t>
      </w:r>
      <w:r>
        <w:rPr>
          <w:rFonts w:ascii="Arial" w:hAnsi="Arial"/>
          <w:sz w:val="20"/>
        </w:rPr>
        <w:t>honors,</w:t>
      </w:r>
      <w:r>
        <w:rPr>
          <w:rFonts w:ascii="Arial" w:hAnsi="Arial"/>
          <w:spacing w:val="-5"/>
          <w:sz w:val="20"/>
        </w:rPr>
        <w:t> </w:t>
      </w:r>
      <w:r>
        <w:rPr>
          <w:rFonts w:ascii="Arial" w:hAnsi="Arial"/>
          <w:sz w:val="20"/>
        </w:rPr>
        <w:t>leadership</w:t>
      </w:r>
      <w:r>
        <w:rPr>
          <w:rFonts w:ascii="Arial" w:hAnsi="Arial"/>
          <w:spacing w:val="-6"/>
          <w:sz w:val="20"/>
        </w:rPr>
        <w:t> </w:t>
      </w:r>
      <w:r>
        <w:rPr>
          <w:rFonts w:ascii="Arial" w:hAnsi="Arial"/>
          <w:sz w:val="20"/>
        </w:rPr>
        <w:t>roles</w:t>
      </w:r>
      <w:r>
        <w:rPr>
          <w:rFonts w:ascii="Arial" w:hAnsi="Arial"/>
          <w:spacing w:val="-4"/>
          <w:sz w:val="20"/>
        </w:rPr>
        <w:t> </w:t>
      </w:r>
      <w:r>
        <w:rPr>
          <w:rFonts w:ascii="Arial" w:hAnsi="Arial"/>
          <w:sz w:val="20"/>
        </w:rPr>
        <w:t>within</w:t>
      </w:r>
      <w:r>
        <w:rPr>
          <w:rFonts w:ascii="Arial" w:hAnsi="Arial"/>
          <w:spacing w:val="-5"/>
          <w:sz w:val="20"/>
        </w:rPr>
        <w:t> </w:t>
      </w:r>
      <w:r>
        <w:rPr>
          <w:rFonts w:ascii="Arial" w:hAnsi="Arial"/>
          <w:sz w:val="20"/>
        </w:rPr>
        <w:t>the</w:t>
      </w:r>
      <w:r>
        <w:rPr>
          <w:rFonts w:ascii="Arial" w:hAnsi="Arial"/>
          <w:spacing w:val="-5"/>
          <w:sz w:val="20"/>
        </w:rPr>
        <w:t> </w:t>
      </w:r>
      <w:r>
        <w:rPr>
          <w:rFonts w:ascii="Arial" w:hAnsi="Arial"/>
          <w:sz w:val="20"/>
        </w:rPr>
        <w:t>Section,</w:t>
      </w:r>
      <w:r>
        <w:rPr>
          <w:rFonts w:ascii="Arial" w:hAnsi="Arial"/>
          <w:spacing w:val="-4"/>
          <w:sz w:val="20"/>
        </w:rPr>
        <w:t> </w:t>
      </w:r>
      <w:r>
        <w:rPr>
          <w:rFonts w:ascii="Arial" w:hAnsi="Arial"/>
          <w:sz w:val="20"/>
        </w:rPr>
        <w:t>published</w:t>
      </w:r>
      <w:r>
        <w:rPr>
          <w:rFonts w:ascii="Arial" w:hAnsi="Arial"/>
          <w:spacing w:val="-5"/>
          <w:sz w:val="20"/>
        </w:rPr>
        <w:t> </w:t>
      </w:r>
      <w:r>
        <w:rPr>
          <w:rFonts w:ascii="Arial" w:hAnsi="Arial"/>
          <w:sz w:val="20"/>
        </w:rPr>
        <w:t>articles,</w:t>
      </w:r>
      <w:r>
        <w:rPr>
          <w:rFonts w:ascii="Arial" w:hAnsi="Arial"/>
          <w:spacing w:val="-6"/>
          <w:sz w:val="20"/>
        </w:rPr>
        <w:t> </w:t>
      </w:r>
      <w:r>
        <w:rPr>
          <w:rFonts w:ascii="Arial" w:hAnsi="Arial"/>
          <w:sz w:val="20"/>
        </w:rPr>
        <w:t>speaking</w:t>
      </w:r>
      <w:r>
        <w:rPr>
          <w:rFonts w:ascii="Arial" w:hAnsi="Arial"/>
          <w:spacing w:val="-4"/>
          <w:sz w:val="20"/>
        </w:rPr>
        <w:t> </w:t>
      </w:r>
      <w:r>
        <w:rPr>
          <w:rFonts w:ascii="Arial" w:hAnsi="Arial"/>
          <w:sz w:val="20"/>
        </w:rPr>
        <w:t>engagements,</w:t>
      </w:r>
      <w:r>
        <w:rPr>
          <w:rFonts w:ascii="Arial" w:hAnsi="Arial"/>
          <w:spacing w:val="-5"/>
          <w:sz w:val="20"/>
        </w:rPr>
        <w:t> </w:t>
      </w:r>
      <w:r>
        <w:rPr>
          <w:rFonts w:ascii="Arial" w:hAnsi="Arial"/>
          <w:sz w:val="20"/>
        </w:rPr>
        <w:t>and reported</w:t>
      </w:r>
      <w:r>
        <w:rPr>
          <w:rFonts w:ascii="Arial" w:hAnsi="Arial"/>
          <w:spacing w:val="-1"/>
          <w:sz w:val="20"/>
        </w:rPr>
        <w:t> </w:t>
      </w:r>
      <w:r>
        <w:rPr>
          <w:rFonts w:ascii="Arial" w:hAnsi="Arial"/>
          <w:sz w:val="20"/>
        </w:rPr>
        <w:t>litigation.</w:t>
      </w:r>
    </w:p>
    <w:p>
      <w:pPr>
        <w:spacing w:line="249" w:lineRule="auto" w:before="141"/>
        <w:ind w:left="1079" w:right="1440" w:firstLine="0"/>
        <w:jc w:val="left"/>
        <w:rPr>
          <w:rFonts w:ascii="Arial"/>
          <w:b/>
          <w:i/>
          <w:sz w:val="20"/>
        </w:rPr>
      </w:pPr>
      <w:r>
        <w:rPr>
          <w:rFonts w:ascii="Arial"/>
          <w:b/>
          <w:i/>
          <w:sz w:val="20"/>
        </w:rPr>
        <w:t>A description of the manner in which the nominee met the criteria for inclusion (i.e., why the nominee </w:t>
      </w:r>
      <w:r>
        <w:rPr>
          <w:rFonts w:ascii="Arial"/>
          <w:b/>
          <w:i/>
          <w:sz w:val="20"/>
        </w:rPr>
        <w:t>should be honored) must be attached to this application.</w:t>
      </w:r>
    </w:p>
    <w:p>
      <w:pPr>
        <w:pStyle w:val="BodyText"/>
        <w:rPr>
          <w:rFonts w:ascii="Arial"/>
          <w:b/>
          <w:i/>
          <w:sz w:val="21"/>
        </w:rPr>
      </w:pPr>
    </w:p>
    <w:p>
      <w:pPr>
        <w:spacing w:before="0"/>
        <w:ind w:left="1079" w:right="0" w:firstLine="0"/>
        <w:jc w:val="left"/>
        <w:rPr>
          <w:rFonts w:ascii="Arial"/>
          <w:b/>
          <w:sz w:val="20"/>
        </w:rPr>
      </w:pPr>
      <w:r>
        <w:rPr>
          <w:rFonts w:ascii="Arial"/>
          <w:b/>
          <w:sz w:val="20"/>
        </w:rPr>
        <w:t>About the Nominator (please print) NOTE: Nominator must be Section member</w:t>
      </w:r>
    </w:p>
    <w:p>
      <w:pPr>
        <w:spacing w:after="0"/>
        <w:jc w:val="left"/>
        <w:rPr>
          <w:rFonts w:ascii="Arial"/>
          <w:sz w:val="20"/>
        </w:rPr>
        <w:sectPr>
          <w:type w:val="continuous"/>
          <w:pgSz w:w="12240" w:h="15840"/>
          <w:pgMar w:top="540" w:bottom="280" w:left="0" w:right="0"/>
        </w:sectPr>
      </w:pPr>
    </w:p>
    <w:p>
      <w:pPr>
        <w:pStyle w:val="BodyText"/>
        <w:spacing w:before="3"/>
        <w:rPr>
          <w:rFonts w:ascii="Arial"/>
          <w:b/>
          <w:sz w:val="18"/>
        </w:rPr>
      </w:pPr>
    </w:p>
    <w:p>
      <w:pPr>
        <w:spacing w:before="0"/>
        <w:ind w:left="1079" w:right="0" w:firstLine="0"/>
        <w:jc w:val="left"/>
        <w:rPr>
          <w:rFonts w:ascii="Arial"/>
          <w:sz w:val="20"/>
        </w:rPr>
      </w:pPr>
      <w:r>
        <w:rPr>
          <w:rFonts w:ascii="Arial"/>
          <w:sz w:val="20"/>
        </w:rPr>
        <w:t>Name:</w:t>
      </w:r>
    </w:p>
    <w:p>
      <w:pPr>
        <w:spacing w:before="95"/>
        <w:ind w:left="78" w:right="0" w:firstLine="0"/>
        <w:jc w:val="left"/>
        <w:rPr>
          <w:rFonts w:ascii="Arial"/>
          <w:sz w:val="20"/>
        </w:rPr>
      </w:pPr>
      <w:r>
        <w:rPr/>
        <w:br w:type="column"/>
      </w:r>
      <w:r>
        <w:rPr>
          <w:rFonts w:ascii="Arial"/>
          <w:sz w:val="20"/>
        </w:rPr>
        <w:t>Cathleen Scott</w:t>
      </w:r>
    </w:p>
    <w:p>
      <w:pPr>
        <w:pStyle w:val="BodyText"/>
        <w:spacing w:before="3"/>
        <w:rPr>
          <w:rFonts w:ascii="Arial"/>
          <w:sz w:val="18"/>
        </w:rPr>
      </w:pPr>
      <w:r>
        <w:rPr/>
        <w:br w:type="column"/>
      </w:r>
      <w:r>
        <w:rPr>
          <w:rFonts w:ascii="Arial"/>
          <w:sz w:val="18"/>
        </w:rPr>
      </w:r>
    </w:p>
    <w:p>
      <w:pPr>
        <w:spacing w:before="0"/>
        <w:ind w:left="1079" w:right="0" w:firstLine="0"/>
        <w:jc w:val="left"/>
        <w:rPr>
          <w:rFonts w:ascii="Arial"/>
          <w:sz w:val="20"/>
        </w:rPr>
      </w:pPr>
      <w:r>
        <w:rPr>
          <w:rFonts w:ascii="Arial"/>
          <w:sz w:val="20"/>
        </w:rPr>
        <w:t>Phone:</w:t>
      </w:r>
    </w:p>
    <w:p>
      <w:pPr>
        <w:spacing w:after="0"/>
        <w:jc w:val="left"/>
        <w:rPr>
          <w:rFonts w:ascii="Arial"/>
          <w:sz w:val="20"/>
        </w:rPr>
        <w:sectPr>
          <w:type w:val="continuous"/>
          <w:pgSz w:w="12240" w:h="15840"/>
          <w:pgMar w:top="540" w:bottom="280" w:left="0" w:right="0"/>
          <w:cols w:num="3" w:equalWidth="0">
            <w:col w:w="1669" w:space="40"/>
            <w:col w:w="1431" w:space="3915"/>
            <w:col w:w="5185"/>
          </w:cols>
        </w:sectPr>
      </w:pPr>
    </w:p>
    <w:p>
      <w:pPr>
        <w:pStyle w:val="BodyText"/>
        <w:spacing w:before="3"/>
        <w:rPr>
          <w:rFonts w:ascii="Arial"/>
          <w:sz w:val="18"/>
        </w:rPr>
      </w:pPr>
    </w:p>
    <w:p>
      <w:pPr>
        <w:spacing w:before="0"/>
        <w:ind w:left="1079" w:right="0" w:firstLine="0"/>
        <w:jc w:val="left"/>
        <w:rPr>
          <w:rFonts w:ascii="Arial"/>
          <w:sz w:val="20"/>
        </w:rPr>
      </w:pPr>
      <w:r>
        <w:rPr>
          <w:rFonts w:ascii="Arial"/>
          <w:sz w:val="20"/>
        </w:rPr>
        <w:t>Institution/Affiliation:</w:t>
      </w:r>
    </w:p>
    <w:p>
      <w:pPr>
        <w:spacing w:before="95"/>
        <w:ind w:left="111" w:right="0" w:firstLine="0"/>
        <w:jc w:val="left"/>
        <w:rPr>
          <w:rFonts w:ascii="Arial"/>
          <w:sz w:val="20"/>
        </w:rPr>
      </w:pPr>
      <w:r>
        <w:rPr/>
        <w:br w:type="column"/>
      </w:r>
      <w:r>
        <w:rPr>
          <w:rFonts w:ascii="Arial"/>
          <w:sz w:val="20"/>
        </w:rPr>
        <w:t>Scott Wagner Law</w:t>
      </w:r>
    </w:p>
    <w:p>
      <w:pPr>
        <w:spacing w:after="0"/>
        <w:jc w:val="left"/>
        <w:rPr>
          <w:rFonts w:ascii="Arial"/>
          <w:sz w:val="20"/>
        </w:rPr>
        <w:sectPr>
          <w:type w:val="continuous"/>
          <w:pgSz w:w="12240" w:h="15840"/>
          <w:pgMar w:top="540" w:bottom="280" w:left="0" w:right="0"/>
          <w:cols w:num="2" w:equalWidth="0">
            <w:col w:w="2861" w:space="40"/>
            <w:col w:w="9339"/>
          </w:cols>
        </w:sectPr>
      </w:pPr>
    </w:p>
    <w:p>
      <w:pPr>
        <w:pStyle w:val="BodyText"/>
        <w:spacing w:before="3"/>
        <w:rPr>
          <w:rFonts w:ascii="Arial"/>
          <w:sz w:val="18"/>
        </w:rPr>
      </w:pPr>
    </w:p>
    <w:p>
      <w:pPr>
        <w:spacing w:before="0"/>
        <w:ind w:left="1079" w:right="0" w:firstLine="0"/>
        <w:jc w:val="left"/>
        <w:rPr>
          <w:rFonts w:ascii="Arial"/>
          <w:sz w:val="20"/>
        </w:rPr>
      </w:pPr>
      <w:r>
        <w:rPr>
          <w:rFonts w:ascii="Arial"/>
          <w:sz w:val="20"/>
        </w:rPr>
        <w:t>Address:</w:t>
      </w:r>
    </w:p>
    <w:p>
      <w:pPr>
        <w:spacing w:before="94"/>
        <w:ind w:left="101" w:right="0" w:firstLine="0"/>
        <w:jc w:val="left"/>
        <w:rPr>
          <w:rFonts w:ascii="Arial"/>
          <w:sz w:val="20"/>
        </w:rPr>
      </w:pPr>
      <w:r>
        <w:rPr/>
        <w:br w:type="column"/>
      </w:r>
      <w:r>
        <w:rPr>
          <w:rFonts w:ascii="Arial"/>
          <w:sz w:val="20"/>
        </w:rPr>
        <w:t>250 South Central Boulevard Suite 104A</w:t>
      </w:r>
    </w:p>
    <w:p>
      <w:pPr>
        <w:spacing w:after="0"/>
        <w:jc w:val="left"/>
        <w:rPr>
          <w:rFonts w:ascii="Arial"/>
          <w:sz w:val="20"/>
        </w:rPr>
        <w:sectPr>
          <w:type w:val="continuous"/>
          <w:pgSz w:w="12240" w:h="15840"/>
          <w:pgMar w:top="540" w:bottom="280" w:left="0" w:right="0"/>
          <w:cols w:num="2" w:equalWidth="0">
            <w:col w:w="1870" w:space="40"/>
            <w:col w:w="10330"/>
          </w:cols>
        </w:sectPr>
      </w:pPr>
    </w:p>
    <w:p>
      <w:pPr>
        <w:pStyle w:val="BodyText"/>
        <w:spacing w:before="3"/>
        <w:rPr>
          <w:rFonts w:ascii="Arial"/>
          <w:sz w:val="18"/>
        </w:rPr>
      </w:pPr>
    </w:p>
    <w:p>
      <w:pPr>
        <w:spacing w:before="0"/>
        <w:ind w:left="1079" w:right="0" w:firstLine="0"/>
        <w:jc w:val="left"/>
        <w:rPr>
          <w:rFonts w:ascii="Arial"/>
          <w:sz w:val="20"/>
        </w:rPr>
      </w:pPr>
      <w:r>
        <w:rPr>
          <w:rFonts w:ascii="Arial"/>
          <w:sz w:val="20"/>
        </w:rPr>
        <w:t>City/State/Zip:</w:t>
      </w:r>
    </w:p>
    <w:p>
      <w:pPr>
        <w:spacing w:before="95"/>
        <w:ind w:left="79" w:right="0" w:firstLine="0"/>
        <w:jc w:val="left"/>
        <w:rPr>
          <w:rFonts w:ascii="Arial"/>
          <w:sz w:val="20"/>
        </w:rPr>
      </w:pPr>
      <w:r>
        <w:rPr/>
        <w:br w:type="column"/>
      </w:r>
      <w:r>
        <w:rPr>
          <w:rFonts w:ascii="Arial"/>
          <w:sz w:val="20"/>
        </w:rPr>
        <w:t>Jupiter</w:t>
      </w:r>
    </w:p>
    <w:p>
      <w:pPr>
        <w:spacing w:after="0"/>
        <w:jc w:val="left"/>
        <w:rPr>
          <w:rFonts w:ascii="Arial"/>
          <w:sz w:val="20"/>
        </w:rPr>
        <w:sectPr>
          <w:type w:val="continuous"/>
          <w:pgSz w:w="12240" w:h="15840"/>
          <w:pgMar w:top="540" w:bottom="280" w:left="0" w:right="0"/>
          <w:cols w:num="2" w:equalWidth="0">
            <w:col w:w="2335" w:space="40"/>
            <w:col w:w="9865"/>
          </w:cols>
        </w:sectPr>
      </w:pPr>
    </w:p>
    <w:p>
      <w:pPr>
        <w:pStyle w:val="BodyText"/>
        <w:spacing w:before="3"/>
        <w:rPr>
          <w:rFonts w:ascii="Arial"/>
          <w:sz w:val="18"/>
        </w:rPr>
      </w:pPr>
    </w:p>
    <w:p>
      <w:pPr>
        <w:spacing w:before="0"/>
        <w:ind w:left="1079" w:right="0" w:firstLine="0"/>
        <w:jc w:val="left"/>
        <w:rPr>
          <w:rFonts w:ascii="Arial"/>
          <w:sz w:val="20"/>
        </w:rPr>
      </w:pPr>
      <w:r>
        <w:rPr>
          <w:rFonts w:ascii="Arial"/>
          <w:spacing w:val="-6"/>
          <w:sz w:val="20"/>
        </w:rPr>
        <w:t>Your </w:t>
      </w:r>
      <w:r>
        <w:rPr>
          <w:rFonts w:ascii="Arial"/>
          <w:sz w:val="20"/>
        </w:rPr>
        <w:t>Relationship to Nominee:</w:t>
      </w:r>
    </w:p>
    <w:p>
      <w:pPr>
        <w:spacing w:before="51"/>
        <w:ind w:left="88" w:right="0" w:firstLine="0"/>
        <w:jc w:val="left"/>
        <w:rPr>
          <w:rFonts w:ascii="Arial"/>
          <w:sz w:val="28"/>
        </w:rPr>
      </w:pPr>
      <w:r>
        <w:rPr/>
        <w:br w:type="column"/>
      </w:r>
      <w:r>
        <w:rPr>
          <w:rFonts w:ascii="Arial"/>
          <w:sz w:val="28"/>
        </w:rPr>
        <w:t>former colleague</w:t>
      </w:r>
    </w:p>
    <w:p>
      <w:pPr>
        <w:spacing w:after="0"/>
        <w:jc w:val="left"/>
        <w:rPr>
          <w:rFonts w:ascii="Arial"/>
          <w:sz w:val="28"/>
        </w:rPr>
        <w:sectPr>
          <w:type w:val="continuous"/>
          <w:pgSz w:w="12240" w:h="15840"/>
          <w:pgMar w:top="540" w:bottom="280" w:left="0" w:right="0"/>
          <w:cols w:num="2" w:equalWidth="0">
            <w:col w:w="3773" w:space="40"/>
            <w:col w:w="8427"/>
          </w:cols>
        </w:sectPr>
      </w:pPr>
    </w:p>
    <w:p>
      <w:pPr>
        <w:pStyle w:val="BodyText"/>
        <w:rPr>
          <w:rFonts w:ascii="Arial"/>
          <w:sz w:val="20"/>
        </w:rPr>
      </w:pPr>
      <w:r>
        <w:rPr/>
        <w:pict>
          <v:group style="position:absolute;margin-left:40.5pt;margin-top:46.5pt;width:531pt;height:694.2pt;mso-position-horizontal-relative:page;mso-position-vertical-relative:page;z-index:-253893632" coordorigin="810,930" coordsize="10620,13884">
            <v:shape style="position:absolute;left:1079;top:4988;width:10007;height:8600" coordorigin="1080,4988" coordsize="10007,8600" path="m1747,4988l11086,4988m1080,6748l11085,6748m1080,7628l11085,7628m2415,13588l11086,13588e" filled="false" stroked="true" strokeweight=".63pt" strokecolor="#000000">
              <v:path arrowok="t"/>
              <v:stroke dashstyle="solid"/>
            </v:shape>
            <v:shape style="position:absolute;left:816;top:936;width:10607;height:13871" coordorigin="817,937" coordsize="10607,13871" path="m977,970l977,1097,850,1097,817,1097,817,1130,817,14614,817,14647,850,14647,977,14647,977,14774,977,14807,1010,14807,11230,14807,11263,14807,11263,14774,11263,14647,11390,14647,11423,14647,11423,14614,11423,1130,11423,1097,11390,1097,11263,1097,11263,970,11263,937,11230,937,1010,937,977,937,977,970xe" filled="false" stroked="true" strokeweight=".668pt" strokecolor="#000000">
              <v:path arrowok="t"/>
              <v:stroke dashstyle="solid"/>
            </v:shape>
            <v:shape style="position:absolute;left:981;top:1129;width:1959;height:671" type="#_x0000_t75" stroked="false">
              <v:imagedata r:id="rId24" o:title=""/>
            </v:shape>
            <v:shape style="position:absolute;left:9340;top:1129;width:1959;height:671" type="#_x0000_t75" stroked="false">
              <v:imagedata r:id="rId25" o:title=""/>
            </v:shape>
            <v:shape style="position:absolute;left:850;top:970;width:10540;height:13804" coordorigin="850,970" coordsize="10540,13804" path="m1010,970l1010,1130,850,1130,850,14614,1010,14614,1010,14774,11230,14774,11230,14614,11390,14614,11390,1130,11230,1130,11230,970,1010,970xe" filled="false" stroked="true" strokeweight=".668pt" strokecolor="#000000">
              <v:path arrowok="t"/>
              <v:stroke dashstyle="solid"/>
            </v:shape>
            <v:shape style="position:absolute;left:883;top:1003;width:10474;height:13738" coordorigin="883,1003" coordsize="10474,13738" path="m1043,1003l1043,1130,1043,1163,1010,1163,883,1163,883,14581,1010,14581,1043,14581,1043,14614,1043,14741,11197,14741,11197,14614,11197,14581,11230,14581,11357,14581,11357,1163,11230,1163,11197,1163,11197,1130,11197,1003,1043,1003xe" filled="false" stroked="true" strokeweight=".668pt" strokecolor="#000000">
              <v:path arrowok="t"/>
              <v:stroke dashstyle="solid"/>
            </v:shape>
            <v:shape style="position:absolute;left:1747;top:5428;width:9412;height:8600" coordorigin="1747,5428" coordsize="9412,8600" path="m3703,5428l5148,5428m1747,12268l8084,12268m8824,12268l11159,12268m2971,12708l11086,12708m1970,13148l11086,13148m3861,14028l11087,14028e" filled="false" stroked="true" strokeweight=".63pt" strokecolor="#000000">
              <v:path arrowok="t"/>
              <v:stroke dashstyle="solid"/>
            </v:shape>
            <v:shape style="position:absolute;left:3509;top:5684;width:181;height:181" type="#_x0000_t75" stroked="false">
              <v:imagedata r:id="rId26" o:title=""/>
            </v:shape>
            <v:shape style="position:absolute;left:4268;top:5684;width:181;height:181" type="#_x0000_t75" stroked="false">
              <v:imagedata r:id="rId26" o:title=""/>
            </v:shape>
            <v:shape style="position:absolute;left:8227;top:5684;width:181;height:181" type="#_x0000_t75" stroked="false">
              <v:imagedata r:id="rId26" o:title=""/>
            </v:shape>
            <v:shape style="position:absolute;left:8847;top:5684;width:181;height:181" type="#_x0000_t75" stroked="false">
              <v:imagedata r:id="rId26" o:title=""/>
            </v:shape>
            <w10:wrap type="none"/>
          </v:group>
        </w:pict>
      </w:r>
    </w:p>
    <w:p>
      <w:pPr>
        <w:pStyle w:val="BodyText"/>
        <w:rPr>
          <w:rFonts w:ascii="Arial"/>
          <w:sz w:val="20"/>
        </w:rPr>
      </w:pPr>
    </w:p>
    <w:p>
      <w:pPr>
        <w:pStyle w:val="BodyText"/>
        <w:rPr>
          <w:rFonts w:ascii="Arial"/>
          <w:sz w:val="20"/>
        </w:rPr>
      </w:pPr>
    </w:p>
    <w:p>
      <w:pPr>
        <w:pStyle w:val="BodyText"/>
        <w:spacing w:before="3"/>
        <w:rPr>
          <w:rFonts w:ascii="Arial"/>
          <w:sz w:val="25"/>
        </w:rPr>
      </w:pPr>
    </w:p>
    <w:p>
      <w:pPr>
        <w:tabs>
          <w:tab w:pos="4324" w:val="left" w:leader="none"/>
          <w:tab w:pos="8123" w:val="left" w:leader="none"/>
        </w:tabs>
        <w:spacing w:before="95"/>
        <w:ind w:left="0" w:right="0" w:firstLine="0"/>
        <w:jc w:val="center"/>
        <w:rPr>
          <w:rFonts w:ascii="Arial"/>
          <w:sz w:val="16"/>
        </w:rPr>
      </w:pPr>
      <w:r>
        <w:rPr/>
        <w:pict>
          <v:shape style="position:absolute;margin-left:303.220001pt;margin-top:3.361123pt;width:5.6pt;height:11.2pt;mso-position-horizontal-relative:page;mso-position-vertical-relative:paragraph;z-index:-253898752" type="#_x0000_t202" filled="false" stroked="false">
            <v:textbox inset="0,0,0,0">
              <w:txbxContent>
                <w:p>
                  <w:pPr>
                    <w:spacing w:line="223" w:lineRule="exact" w:before="0"/>
                    <w:ind w:left="0" w:right="0" w:firstLine="0"/>
                    <w:jc w:val="left"/>
                    <w:rPr>
                      <w:rFonts w:ascii="Arial"/>
                      <w:b/>
                      <w:sz w:val="20"/>
                    </w:rPr>
                  </w:pPr>
                  <w:r>
                    <w:rPr>
                      <w:rFonts w:ascii="Arial"/>
                      <w:b/>
                      <w:sz w:val="20"/>
                    </w:rPr>
                    <w:t>6</w:t>
                  </w:r>
                </w:p>
              </w:txbxContent>
            </v:textbox>
            <w10:wrap type="none"/>
          </v:shape>
        </w:pict>
      </w:r>
      <w:r>
        <w:rPr/>
        <w:pict>
          <v:rect style="position:absolute;margin-left:293.299988pt;margin-top:-.962143pt;width:23pt;height:20pt;mso-position-horizontal-relative:page;mso-position-vertical-relative:paragraph;z-index:-253892608" filled="true" fillcolor="#ffffff" stroked="false">
            <v:fill type="solid"/>
            <w10:wrap type="none"/>
          </v:rect>
        </w:pict>
      </w:r>
      <w:r>
        <w:rPr>
          <w:rFonts w:ascii="Arial"/>
          <w:sz w:val="16"/>
        </w:rPr>
        <w:t>Labor Agenda Winter</w:t>
      </w:r>
      <w:r>
        <w:rPr>
          <w:rFonts w:ascii="Arial"/>
          <w:spacing w:val="-6"/>
          <w:sz w:val="16"/>
        </w:rPr>
        <w:t> </w:t>
      </w:r>
      <w:r>
        <w:rPr>
          <w:rFonts w:ascii="Arial"/>
          <w:sz w:val="16"/>
        </w:rPr>
        <w:t>Meeting</w:t>
      </w:r>
      <w:r>
        <w:rPr>
          <w:rFonts w:ascii="Arial"/>
          <w:spacing w:val="-1"/>
          <w:sz w:val="16"/>
        </w:rPr>
        <w:t> </w:t>
      </w:r>
      <w:r>
        <w:rPr>
          <w:rFonts w:ascii="Arial"/>
          <w:sz w:val="16"/>
        </w:rPr>
        <w:t>2019</w:t>
        <w:tab/>
        <w:t>Exhibit F1</w:t>
        <w:tab/>
        <w:t>January 17,</w:t>
      </w:r>
      <w:r>
        <w:rPr>
          <w:rFonts w:ascii="Arial"/>
          <w:spacing w:val="-1"/>
          <w:sz w:val="16"/>
        </w:rPr>
        <w:t> </w:t>
      </w:r>
      <w:r>
        <w:rPr>
          <w:rFonts w:ascii="Arial"/>
          <w:sz w:val="16"/>
        </w:rPr>
        <w:t>2019</w:t>
      </w:r>
    </w:p>
    <w:p>
      <w:pPr>
        <w:spacing w:after="0"/>
        <w:jc w:val="center"/>
        <w:rPr>
          <w:rFonts w:ascii="Arial"/>
          <w:sz w:val="16"/>
        </w:rPr>
        <w:sectPr>
          <w:type w:val="continuous"/>
          <w:pgSz w:w="12240" w:h="15840"/>
          <w:pgMar w:top="540" w:bottom="280" w:left="0" w:right="0"/>
        </w:sectPr>
      </w:pPr>
    </w:p>
    <w:p>
      <w:pPr>
        <w:spacing w:before="80"/>
        <w:ind w:left="1440" w:right="0" w:firstLine="0"/>
        <w:jc w:val="left"/>
        <w:rPr>
          <w:rFonts w:ascii="Cambria"/>
          <w:b/>
          <w:sz w:val="54"/>
        </w:rPr>
      </w:pPr>
      <w:bookmarkStart w:name="7 Exhibit E-B Margaret Cooper Obituary" w:id="27"/>
      <w:bookmarkEnd w:id="27"/>
      <w:r>
        <w:rPr/>
      </w:r>
      <w:r>
        <w:rPr>
          <w:rFonts w:ascii="Cambria"/>
          <w:b/>
          <w:color w:val="801212"/>
          <w:sz w:val="54"/>
        </w:rPr>
        <w:t>Margaret L. COOPER</w:t>
      </w:r>
    </w:p>
    <w:p>
      <w:pPr>
        <w:spacing w:before="213"/>
        <w:ind w:left="1440" w:right="0" w:firstLine="0"/>
        <w:jc w:val="left"/>
        <w:rPr>
          <w:rFonts w:ascii="Segoe UI"/>
          <w:b/>
          <w:sz w:val="31"/>
        </w:rPr>
      </w:pPr>
      <w:bookmarkStart w:name="OBITUARY" w:id="28"/>
      <w:bookmarkEnd w:id="28"/>
      <w:r>
        <w:rPr/>
      </w:r>
      <w:r>
        <w:rPr>
          <w:rFonts w:ascii="Segoe UI"/>
          <w:b/>
          <w:sz w:val="31"/>
        </w:rPr>
        <w:t>OBITUARY</w:t>
      </w:r>
    </w:p>
    <w:p>
      <w:pPr>
        <w:pStyle w:val="BodyText"/>
        <w:spacing w:before="6"/>
        <w:rPr>
          <w:rFonts w:ascii="Segoe UI"/>
          <w:b/>
          <w:sz w:val="20"/>
        </w:rPr>
      </w:pPr>
      <w:r>
        <w:rPr/>
        <w:drawing>
          <wp:anchor distT="0" distB="0" distL="0" distR="0" allowOverlap="1" layoutInCell="1" locked="0" behindDoc="0" simplePos="0" relativeHeight="16">
            <wp:simplePos x="0" y="0"/>
            <wp:positionH relativeFrom="page">
              <wp:posOffset>914400</wp:posOffset>
            </wp:positionH>
            <wp:positionV relativeFrom="paragraph">
              <wp:posOffset>197611</wp:posOffset>
            </wp:positionV>
            <wp:extent cx="1231799" cy="1504950"/>
            <wp:effectExtent l="0" t="0" r="0" b="0"/>
            <wp:wrapTopAndBottom/>
            <wp:docPr id="15" name="image9.jpeg" descr="Margaret L. COOPER Obituary"/>
            <wp:cNvGraphicFramePr>
              <a:graphicFrameLocks noChangeAspect="1"/>
            </wp:cNvGraphicFramePr>
            <a:graphic>
              <a:graphicData uri="http://schemas.openxmlformats.org/drawingml/2006/picture">
                <pic:pic>
                  <pic:nvPicPr>
                    <pic:cNvPr id="16" name="image9.jpeg"/>
                    <pic:cNvPicPr/>
                  </pic:nvPicPr>
                  <pic:blipFill>
                    <a:blip r:embed="rId28" cstate="print"/>
                    <a:stretch>
                      <a:fillRect/>
                    </a:stretch>
                  </pic:blipFill>
                  <pic:spPr>
                    <a:xfrm>
                      <a:off x="0" y="0"/>
                      <a:ext cx="1231799" cy="1504950"/>
                    </a:xfrm>
                    <a:prstGeom prst="rect">
                      <a:avLst/>
                    </a:prstGeom>
                  </pic:spPr>
                </pic:pic>
              </a:graphicData>
            </a:graphic>
          </wp:anchor>
        </w:drawing>
      </w:r>
    </w:p>
    <w:p>
      <w:pPr>
        <w:pStyle w:val="BodyText"/>
        <w:spacing w:line="271" w:lineRule="auto" w:before="176"/>
        <w:ind w:left="1440" w:right="1434"/>
        <w:jc w:val="both"/>
        <w:rPr>
          <w:rFonts w:ascii="Segoe UI" w:hAnsi="Segoe UI"/>
        </w:rPr>
      </w:pPr>
      <w:r>
        <w:rPr>
          <w:rFonts w:ascii="Segoe UI" w:hAnsi="Segoe UI"/>
          <w:color w:val="00141E"/>
        </w:rPr>
        <w:t>Margaret</w:t>
      </w:r>
      <w:r>
        <w:rPr>
          <w:rFonts w:ascii="Segoe UI" w:hAnsi="Segoe UI"/>
          <w:color w:val="00141E"/>
          <w:spacing w:val="-7"/>
        </w:rPr>
        <w:t> </w:t>
      </w:r>
      <w:r>
        <w:rPr>
          <w:rFonts w:ascii="Segoe UI" w:hAnsi="Segoe UI"/>
          <w:color w:val="00141E"/>
        </w:rPr>
        <w:t>L.</w:t>
      </w:r>
      <w:r>
        <w:rPr>
          <w:rFonts w:ascii="Segoe UI" w:hAnsi="Segoe UI"/>
          <w:color w:val="00141E"/>
          <w:spacing w:val="-5"/>
        </w:rPr>
        <w:t> </w:t>
      </w:r>
      <w:r>
        <w:rPr>
          <w:rFonts w:ascii="Segoe UI" w:hAnsi="Segoe UI"/>
          <w:color w:val="00141E"/>
        </w:rPr>
        <w:t>"Margie"</w:t>
      </w:r>
      <w:r>
        <w:rPr>
          <w:rFonts w:ascii="Segoe UI" w:hAnsi="Segoe UI"/>
          <w:color w:val="00141E"/>
          <w:spacing w:val="-6"/>
        </w:rPr>
        <w:t> </w:t>
      </w:r>
      <w:r>
        <w:rPr>
          <w:rFonts w:ascii="Segoe UI" w:hAnsi="Segoe UI"/>
          <w:color w:val="00141E"/>
        </w:rPr>
        <w:t>Cooper,</w:t>
      </w:r>
      <w:r>
        <w:rPr>
          <w:rFonts w:ascii="Segoe UI" w:hAnsi="Segoe UI"/>
          <w:color w:val="00141E"/>
          <w:spacing w:val="-5"/>
        </w:rPr>
        <w:t> </w:t>
      </w:r>
      <w:r>
        <w:rPr>
          <w:rFonts w:ascii="Segoe UI" w:hAnsi="Segoe UI"/>
          <w:color w:val="00141E"/>
        </w:rPr>
        <w:t>age</w:t>
      </w:r>
      <w:r>
        <w:rPr>
          <w:rFonts w:ascii="Segoe UI" w:hAnsi="Segoe UI"/>
          <w:color w:val="00141E"/>
          <w:spacing w:val="-7"/>
        </w:rPr>
        <w:t> </w:t>
      </w:r>
      <w:r>
        <w:rPr>
          <w:rFonts w:ascii="Segoe UI" w:hAnsi="Segoe UI"/>
          <w:color w:val="00141E"/>
        </w:rPr>
        <w:t>68,</w:t>
      </w:r>
      <w:r>
        <w:rPr>
          <w:rFonts w:ascii="Segoe UI" w:hAnsi="Segoe UI"/>
          <w:color w:val="00141E"/>
          <w:spacing w:val="-6"/>
        </w:rPr>
        <w:t> </w:t>
      </w:r>
      <w:r>
        <w:rPr>
          <w:rFonts w:ascii="Segoe UI" w:hAnsi="Segoe UI"/>
          <w:color w:val="00141E"/>
        </w:rPr>
        <w:t>of</w:t>
      </w:r>
      <w:r>
        <w:rPr>
          <w:rFonts w:ascii="Segoe UI" w:hAnsi="Segoe UI"/>
          <w:color w:val="00141E"/>
          <w:spacing w:val="-7"/>
        </w:rPr>
        <w:t> </w:t>
      </w:r>
      <w:r>
        <w:rPr>
          <w:rFonts w:ascii="Segoe UI" w:hAnsi="Segoe UI"/>
          <w:color w:val="00141E"/>
        </w:rPr>
        <w:t>West</w:t>
      </w:r>
      <w:r>
        <w:rPr>
          <w:rFonts w:ascii="Segoe UI" w:hAnsi="Segoe UI"/>
          <w:color w:val="00141E"/>
          <w:spacing w:val="-6"/>
        </w:rPr>
        <w:t> </w:t>
      </w:r>
      <w:r>
        <w:rPr>
          <w:rFonts w:ascii="Segoe UI" w:hAnsi="Segoe UI"/>
          <w:color w:val="00141E"/>
        </w:rPr>
        <w:t>Palm</w:t>
      </w:r>
      <w:r>
        <w:rPr>
          <w:rFonts w:ascii="Segoe UI" w:hAnsi="Segoe UI"/>
          <w:color w:val="00141E"/>
          <w:spacing w:val="-6"/>
        </w:rPr>
        <w:t> </w:t>
      </w:r>
      <w:r>
        <w:rPr>
          <w:rFonts w:ascii="Segoe UI" w:hAnsi="Segoe UI"/>
          <w:color w:val="00141E"/>
        </w:rPr>
        <w:t>Beach,</w:t>
      </w:r>
      <w:r>
        <w:rPr>
          <w:rFonts w:ascii="Segoe UI" w:hAnsi="Segoe UI"/>
          <w:color w:val="00141E"/>
          <w:spacing w:val="-5"/>
        </w:rPr>
        <w:t> </w:t>
      </w:r>
      <w:r>
        <w:rPr>
          <w:rFonts w:ascii="Segoe UI" w:hAnsi="Segoe UI"/>
          <w:color w:val="00141E"/>
        </w:rPr>
        <w:t>FL,</w:t>
      </w:r>
      <w:r>
        <w:rPr>
          <w:rFonts w:ascii="Segoe UI" w:hAnsi="Segoe UI"/>
          <w:color w:val="00141E"/>
          <w:spacing w:val="-5"/>
        </w:rPr>
        <w:t> </w:t>
      </w:r>
      <w:r>
        <w:rPr>
          <w:rFonts w:ascii="Segoe UI" w:hAnsi="Segoe UI"/>
          <w:color w:val="00141E"/>
        </w:rPr>
        <w:t>a</w:t>
      </w:r>
      <w:r>
        <w:rPr>
          <w:rFonts w:ascii="Segoe UI" w:hAnsi="Segoe UI"/>
          <w:color w:val="00141E"/>
          <w:spacing w:val="-6"/>
        </w:rPr>
        <w:t> </w:t>
      </w:r>
      <w:r>
        <w:rPr>
          <w:rFonts w:ascii="Segoe UI" w:hAnsi="Segoe UI"/>
          <w:color w:val="00141E"/>
        </w:rPr>
        <w:t>beloved</w:t>
      </w:r>
      <w:r>
        <w:rPr>
          <w:rFonts w:ascii="Segoe UI" w:hAnsi="Segoe UI"/>
          <w:color w:val="00141E"/>
          <w:spacing w:val="-6"/>
        </w:rPr>
        <w:t> </w:t>
      </w:r>
      <w:r>
        <w:rPr>
          <w:rFonts w:ascii="Segoe UI" w:hAnsi="Segoe UI"/>
          <w:color w:val="00141E"/>
        </w:rPr>
        <w:t>sister,</w:t>
      </w:r>
      <w:r>
        <w:rPr>
          <w:rFonts w:ascii="Segoe UI" w:hAnsi="Segoe UI"/>
          <w:color w:val="00141E"/>
          <w:spacing w:val="-5"/>
        </w:rPr>
        <w:t> </w:t>
      </w:r>
      <w:r>
        <w:rPr>
          <w:rFonts w:ascii="Segoe UI" w:hAnsi="Segoe UI"/>
          <w:color w:val="00141E"/>
        </w:rPr>
        <w:t>an</w:t>
      </w:r>
      <w:r>
        <w:rPr>
          <w:rFonts w:ascii="Segoe UI" w:hAnsi="Segoe UI"/>
          <w:color w:val="00141E"/>
          <w:spacing w:val="-5"/>
        </w:rPr>
        <w:t> </w:t>
      </w:r>
      <w:r>
        <w:rPr>
          <w:rFonts w:ascii="Segoe UI" w:hAnsi="Segoe UI"/>
          <w:color w:val="00141E"/>
        </w:rPr>
        <w:t>adored aunt,</w:t>
      </w:r>
      <w:r>
        <w:rPr>
          <w:rFonts w:ascii="Segoe UI" w:hAnsi="Segoe UI"/>
          <w:color w:val="00141E"/>
          <w:spacing w:val="-10"/>
        </w:rPr>
        <w:t> </w:t>
      </w:r>
      <w:r>
        <w:rPr>
          <w:rFonts w:ascii="Segoe UI" w:hAnsi="Segoe UI"/>
          <w:color w:val="00141E"/>
        </w:rPr>
        <w:t>and</w:t>
      </w:r>
      <w:r>
        <w:rPr>
          <w:rFonts w:ascii="Segoe UI" w:hAnsi="Segoe UI"/>
          <w:color w:val="00141E"/>
          <w:spacing w:val="-10"/>
        </w:rPr>
        <w:t> </w:t>
      </w:r>
      <w:r>
        <w:rPr>
          <w:rFonts w:ascii="Segoe UI" w:hAnsi="Segoe UI"/>
          <w:color w:val="00141E"/>
        </w:rPr>
        <w:t>a</w:t>
      </w:r>
      <w:r>
        <w:rPr>
          <w:rFonts w:ascii="Segoe UI" w:hAnsi="Segoe UI"/>
          <w:color w:val="00141E"/>
          <w:spacing w:val="-10"/>
        </w:rPr>
        <w:t> </w:t>
      </w:r>
      <w:r>
        <w:rPr>
          <w:rFonts w:ascii="Segoe UI" w:hAnsi="Segoe UI"/>
          <w:color w:val="00141E"/>
        </w:rPr>
        <w:t>wonderful</w:t>
      </w:r>
      <w:r>
        <w:rPr>
          <w:rFonts w:ascii="Segoe UI" w:hAnsi="Segoe UI"/>
          <w:color w:val="00141E"/>
          <w:spacing w:val="-10"/>
        </w:rPr>
        <w:t> </w:t>
      </w:r>
      <w:r>
        <w:rPr>
          <w:rFonts w:ascii="Segoe UI" w:hAnsi="Segoe UI"/>
          <w:color w:val="00141E"/>
        </w:rPr>
        <w:t>friend</w:t>
      </w:r>
      <w:r>
        <w:rPr>
          <w:rFonts w:ascii="Segoe UI" w:hAnsi="Segoe UI"/>
          <w:color w:val="00141E"/>
          <w:spacing w:val="-10"/>
        </w:rPr>
        <w:t> </w:t>
      </w:r>
      <w:r>
        <w:rPr>
          <w:rFonts w:ascii="Segoe UI" w:hAnsi="Segoe UI"/>
          <w:color w:val="00141E"/>
        </w:rPr>
        <w:t>to</w:t>
      </w:r>
      <w:r>
        <w:rPr>
          <w:rFonts w:ascii="Segoe UI" w:hAnsi="Segoe UI"/>
          <w:color w:val="00141E"/>
          <w:spacing w:val="-10"/>
        </w:rPr>
        <w:t> </w:t>
      </w:r>
      <w:r>
        <w:rPr>
          <w:rFonts w:ascii="Segoe UI" w:hAnsi="Segoe UI"/>
          <w:color w:val="00141E"/>
        </w:rPr>
        <w:t>so</w:t>
      </w:r>
      <w:r>
        <w:rPr>
          <w:rFonts w:ascii="Segoe UI" w:hAnsi="Segoe UI"/>
          <w:color w:val="00141E"/>
          <w:spacing w:val="-10"/>
        </w:rPr>
        <w:t> </w:t>
      </w:r>
      <w:r>
        <w:rPr>
          <w:rFonts w:ascii="Segoe UI" w:hAnsi="Segoe UI"/>
          <w:color w:val="00141E"/>
        </w:rPr>
        <w:t>many,</w:t>
      </w:r>
      <w:r>
        <w:rPr>
          <w:rFonts w:ascii="Segoe UI" w:hAnsi="Segoe UI"/>
          <w:color w:val="00141E"/>
          <w:spacing w:val="-9"/>
        </w:rPr>
        <w:t> </w:t>
      </w:r>
      <w:r>
        <w:rPr>
          <w:rFonts w:ascii="Segoe UI" w:hAnsi="Segoe UI"/>
          <w:color w:val="00141E"/>
        </w:rPr>
        <w:t>passed</w:t>
      </w:r>
      <w:r>
        <w:rPr>
          <w:rFonts w:ascii="Segoe UI" w:hAnsi="Segoe UI"/>
          <w:color w:val="00141E"/>
          <w:spacing w:val="-10"/>
        </w:rPr>
        <w:t> </w:t>
      </w:r>
      <w:r>
        <w:rPr>
          <w:rFonts w:ascii="Segoe UI" w:hAnsi="Segoe UI"/>
          <w:color w:val="00141E"/>
        </w:rPr>
        <w:t>away</w:t>
      </w:r>
      <w:r>
        <w:rPr>
          <w:rFonts w:ascii="Segoe UI" w:hAnsi="Segoe UI"/>
          <w:color w:val="00141E"/>
          <w:spacing w:val="-12"/>
        </w:rPr>
        <w:t> </w:t>
      </w:r>
      <w:r>
        <w:rPr>
          <w:rFonts w:ascii="Segoe UI" w:hAnsi="Segoe UI"/>
          <w:color w:val="00141E"/>
        </w:rPr>
        <w:t>January</w:t>
      </w:r>
      <w:r>
        <w:rPr>
          <w:rFonts w:ascii="Segoe UI" w:hAnsi="Segoe UI"/>
          <w:color w:val="00141E"/>
          <w:spacing w:val="-12"/>
        </w:rPr>
        <w:t> </w:t>
      </w:r>
      <w:r>
        <w:rPr>
          <w:rFonts w:ascii="Segoe UI" w:hAnsi="Segoe UI"/>
          <w:color w:val="00141E"/>
        </w:rPr>
        <w:t>4,</w:t>
      </w:r>
      <w:r>
        <w:rPr>
          <w:rFonts w:ascii="Segoe UI" w:hAnsi="Segoe UI"/>
          <w:color w:val="00141E"/>
          <w:spacing w:val="-9"/>
        </w:rPr>
        <w:t> </w:t>
      </w:r>
      <w:r>
        <w:rPr>
          <w:rFonts w:ascii="Segoe UI" w:hAnsi="Segoe UI"/>
          <w:color w:val="00141E"/>
        </w:rPr>
        <w:t>2019.</w:t>
      </w:r>
      <w:r>
        <w:rPr>
          <w:rFonts w:ascii="Segoe UI" w:hAnsi="Segoe UI"/>
          <w:color w:val="00141E"/>
          <w:spacing w:val="-10"/>
        </w:rPr>
        <w:t> </w:t>
      </w:r>
      <w:r>
        <w:rPr>
          <w:rFonts w:ascii="Segoe UI" w:hAnsi="Segoe UI"/>
          <w:color w:val="00141E"/>
        </w:rPr>
        <w:t>She</w:t>
      </w:r>
      <w:r>
        <w:rPr>
          <w:rFonts w:ascii="Segoe UI" w:hAnsi="Segoe UI"/>
          <w:color w:val="00141E"/>
          <w:spacing w:val="-11"/>
        </w:rPr>
        <w:t> </w:t>
      </w:r>
      <w:r>
        <w:rPr>
          <w:rFonts w:ascii="Segoe UI" w:hAnsi="Segoe UI"/>
          <w:color w:val="00141E"/>
        </w:rPr>
        <w:t>fought</w:t>
      </w:r>
      <w:r>
        <w:rPr>
          <w:rFonts w:ascii="Segoe UI" w:hAnsi="Segoe UI"/>
          <w:color w:val="00141E"/>
          <w:spacing w:val="-10"/>
        </w:rPr>
        <w:t> </w:t>
      </w:r>
      <w:r>
        <w:rPr>
          <w:rFonts w:ascii="Segoe UI" w:hAnsi="Segoe UI"/>
          <w:color w:val="00141E"/>
        </w:rPr>
        <w:t>a</w:t>
      </w:r>
      <w:r>
        <w:rPr>
          <w:rFonts w:ascii="Segoe UI" w:hAnsi="Segoe UI"/>
          <w:color w:val="00141E"/>
          <w:spacing w:val="-9"/>
        </w:rPr>
        <w:t> </w:t>
      </w:r>
      <w:r>
        <w:rPr>
          <w:rFonts w:ascii="Segoe UI" w:hAnsi="Segoe UI"/>
          <w:color w:val="00141E"/>
        </w:rPr>
        <w:t>good fight to the very end, and at the end of her life, as throughout it, she was surrounded by family</w:t>
      </w:r>
      <w:r>
        <w:rPr>
          <w:rFonts w:ascii="Segoe UI" w:hAnsi="Segoe UI"/>
          <w:color w:val="00141E"/>
          <w:spacing w:val="-7"/>
        </w:rPr>
        <w:t> </w:t>
      </w:r>
      <w:r>
        <w:rPr>
          <w:rFonts w:ascii="Segoe UI" w:hAnsi="Segoe UI"/>
          <w:color w:val="00141E"/>
        </w:rPr>
        <w:t>and</w:t>
      </w:r>
      <w:r>
        <w:rPr>
          <w:rFonts w:ascii="Segoe UI" w:hAnsi="Segoe UI"/>
          <w:color w:val="00141E"/>
          <w:spacing w:val="-7"/>
        </w:rPr>
        <w:t> </w:t>
      </w:r>
      <w:r>
        <w:rPr>
          <w:rFonts w:ascii="Segoe UI" w:hAnsi="Segoe UI"/>
          <w:color w:val="00141E"/>
        </w:rPr>
        <w:t>friends,</w:t>
      </w:r>
      <w:r>
        <w:rPr>
          <w:rFonts w:ascii="Segoe UI" w:hAnsi="Segoe UI"/>
          <w:color w:val="00141E"/>
          <w:spacing w:val="-4"/>
        </w:rPr>
        <w:t> </w:t>
      </w:r>
      <w:r>
        <w:rPr>
          <w:rFonts w:ascii="Segoe UI" w:hAnsi="Segoe UI"/>
          <w:color w:val="00141E"/>
        </w:rPr>
        <w:t>all</w:t>
      </w:r>
      <w:r>
        <w:rPr>
          <w:rFonts w:ascii="Segoe UI" w:hAnsi="Segoe UI"/>
          <w:color w:val="00141E"/>
          <w:spacing w:val="-8"/>
        </w:rPr>
        <w:t> </w:t>
      </w:r>
      <w:r>
        <w:rPr>
          <w:rFonts w:ascii="Segoe UI" w:hAnsi="Segoe UI"/>
          <w:color w:val="00141E"/>
        </w:rPr>
        <w:t>of</w:t>
      </w:r>
      <w:r>
        <w:rPr>
          <w:rFonts w:ascii="Segoe UI" w:hAnsi="Segoe UI"/>
          <w:color w:val="00141E"/>
          <w:spacing w:val="-8"/>
        </w:rPr>
        <w:t> </w:t>
      </w:r>
      <w:r>
        <w:rPr>
          <w:rFonts w:ascii="Segoe UI" w:hAnsi="Segoe UI"/>
          <w:color w:val="00141E"/>
        </w:rPr>
        <w:t>whom</w:t>
      </w:r>
      <w:r>
        <w:rPr>
          <w:rFonts w:ascii="Segoe UI" w:hAnsi="Segoe UI"/>
          <w:color w:val="00141E"/>
          <w:spacing w:val="-7"/>
        </w:rPr>
        <w:t> </w:t>
      </w:r>
      <w:r>
        <w:rPr>
          <w:rFonts w:ascii="Segoe UI" w:hAnsi="Segoe UI"/>
          <w:color w:val="00141E"/>
        </w:rPr>
        <w:t>thought</w:t>
      </w:r>
      <w:r>
        <w:rPr>
          <w:rFonts w:ascii="Segoe UI" w:hAnsi="Segoe UI"/>
          <w:color w:val="00141E"/>
          <w:spacing w:val="-7"/>
        </w:rPr>
        <w:t> </w:t>
      </w:r>
      <w:r>
        <w:rPr>
          <w:rFonts w:ascii="Segoe UI" w:hAnsi="Segoe UI"/>
          <w:color w:val="00141E"/>
        </w:rPr>
        <w:t>the</w:t>
      </w:r>
      <w:r>
        <w:rPr>
          <w:rFonts w:ascii="Segoe UI" w:hAnsi="Segoe UI"/>
          <w:color w:val="00141E"/>
          <w:spacing w:val="-8"/>
        </w:rPr>
        <w:t> </w:t>
      </w:r>
      <w:r>
        <w:rPr>
          <w:rFonts w:ascii="Segoe UI" w:hAnsi="Segoe UI"/>
          <w:color w:val="00141E"/>
        </w:rPr>
        <w:t>world</w:t>
      </w:r>
      <w:r>
        <w:rPr>
          <w:rFonts w:ascii="Segoe UI" w:hAnsi="Segoe UI"/>
          <w:color w:val="00141E"/>
          <w:spacing w:val="-7"/>
        </w:rPr>
        <w:t> </w:t>
      </w:r>
      <w:r>
        <w:rPr>
          <w:rFonts w:ascii="Segoe UI" w:hAnsi="Segoe UI"/>
          <w:color w:val="00141E"/>
        </w:rPr>
        <w:t>of</w:t>
      </w:r>
      <w:r>
        <w:rPr>
          <w:rFonts w:ascii="Segoe UI" w:hAnsi="Segoe UI"/>
          <w:color w:val="00141E"/>
          <w:spacing w:val="-8"/>
        </w:rPr>
        <w:t> </w:t>
      </w:r>
      <w:r>
        <w:rPr>
          <w:rFonts w:ascii="Segoe UI" w:hAnsi="Segoe UI"/>
          <w:color w:val="00141E"/>
        </w:rPr>
        <w:t>her.</w:t>
      </w:r>
      <w:r>
        <w:rPr>
          <w:rFonts w:ascii="Segoe UI" w:hAnsi="Segoe UI"/>
          <w:color w:val="00141E"/>
          <w:spacing w:val="-6"/>
        </w:rPr>
        <w:t> </w:t>
      </w:r>
      <w:r>
        <w:rPr>
          <w:rFonts w:ascii="Segoe UI" w:hAnsi="Segoe UI"/>
          <w:color w:val="00141E"/>
        </w:rPr>
        <w:t>Margie</w:t>
      </w:r>
      <w:r>
        <w:rPr>
          <w:rFonts w:ascii="Segoe UI" w:hAnsi="Segoe UI"/>
          <w:color w:val="00141E"/>
          <w:spacing w:val="-8"/>
        </w:rPr>
        <w:t> </w:t>
      </w:r>
      <w:r>
        <w:rPr>
          <w:rFonts w:ascii="Segoe UI" w:hAnsi="Segoe UI"/>
          <w:color w:val="00141E"/>
        </w:rPr>
        <w:t>had</w:t>
      </w:r>
      <w:r>
        <w:rPr>
          <w:rFonts w:ascii="Segoe UI" w:hAnsi="Segoe UI"/>
          <w:color w:val="00141E"/>
          <w:spacing w:val="-7"/>
        </w:rPr>
        <w:t> </w:t>
      </w:r>
      <w:r>
        <w:rPr>
          <w:rFonts w:ascii="Segoe UI" w:hAnsi="Segoe UI"/>
          <w:color w:val="00141E"/>
        </w:rPr>
        <w:t>a</w:t>
      </w:r>
      <w:r>
        <w:rPr>
          <w:rFonts w:ascii="Segoe UI" w:hAnsi="Segoe UI"/>
          <w:color w:val="00141E"/>
          <w:spacing w:val="-7"/>
        </w:rPr>
        <w:t> </w:t>
      </w:r>
      <w:r>
        <w:rPr>
          <w:rFonts w:ascii="Segoe UI" w:hAnsi="Segoe UI"/>
          <w:color w:val="00141E"/>
        </w:rPr>
        <w:t>wonderful</w:t>
      </w:r>
      <w:r>
        <w:rPr>
          <w:rFonts w:ascii="Segoe UI" w:hAnsi="Segoe UI"/>
          <w:color w:val="00141E"/>
          <w:spacing w:val="-8"/>
        </w:rPr>
        <w:t> </w:t>
      </w:r>
      <w:r>
        <w:rPr>
          <w:rFonts w:ascii="Segoe UI" w:hAnsi="Segoe UI"/>
          <w:color w:val="00141E"/>
        </w:rPr>
        <w:t>zest</w:t>
      </w:r>
      <w:r>
        <w:rPr>
          <w:rFonts w:ascii="Segoe UI" w:hAnsi="Segoe UI"/>
          <w:color w:val="00141E"/>
          <w:spacing w:val="-6"/>
        </w:rPr>
        <w:t> </w:t>
      </w:r>
      <w:r>
        <w:rPr>
          <w:rFonts w:ascii="Segoe UI" w:hAnsi="Segoe UI"/>
          <w:color w:val="00141E"/>
        </w:rPr>
        <w:t>for life; she got more out of life in one year than most people get in ten. We all will miss her greatly. Margie was the daughter of Jack and Barbara Cooper, and is survived by two brothers, David Cooper (wife Margo) and Herb Cooper (wife Joan), one sister, Libby Meiners (husband Joe), eight nieces and nephews (Melissa, Kelly, Theresa, John, Jayna, Matt, Kate, Stephanie), one daughter, Jenny, and a granddaughter, Gianna. Margie was a highly ranked junior tennis player in Florida who won the state high school girls’ singles championship two years in a row. She went on to play Number 1 at Rollins College and then</w:t>
      </w:r>
      <w:r>
        <w:rPr>
          <w:rFonts w:ascii="Segoe UI" w:hAnsi="Segoe UI"/>
          <w:color w:val="00141E"/>
          <w:spacing w:val="-18"/>
        </w:rPr>
        <w:t> </w:t>
      </w:r>
      <w:r>
        <w:rPr>
          <w:rFonts w:ascii="Segoe UI" w:hAnsi="Segoe UI"/>
          <w:color w:val="00141E"/>
        </w:rPr>
        <w:t>briefly</w:t>
      </w:r>
      <w:r>
        <w:rPr>
          <w:rFonts w:ascii="Segoe UI" w:hAnsi="Segoe UI"/>
          <w:color w:val="00141E"/>
          <w:spacing w:val="-20"/>
        </w:rPr>
        <w:t> </w:t>
      </w:r>
      <w:r>
        <w:rPr>
          <w:rFonts w:ascii="Segoe UI" w:hAnsi="Segoe UI"/>
          <w:color w:val="00141E"/>
        </w:rPr>
        <w:t>played</w:t>
      </w:r>
      <w:r>
        <w:rPr>
          <w:rFonts w:ascii="Segoe UI" w:hAnsi="Segoe UI"/>
          <w:color w:val="00141E"/>
          <w:spacing w:val="-19"/>
        </w:rPr>
        <w:t> </w:t>
      </w:r>
      <w:r>
        <w:rPr>
          <w:rFonts w:ascii="Segoe UI" w:hAnsi="Segoe UI"/>
          <w:color w:val="00141E"/>
        </w:rPr>
        <w:t>professionally</w:t>
      </w:r>
      <w:r>
        <w:rPr>
          <w:rFonts w:ascii="Segoe UI" w:hAnsi="Segoe UI"/>
          <w:color w:val="00141E"/>
          <w:spacing w:val="-19"/>
        </w:rPr>
        <w:t> </w:t>
      </w:r>
      <w:r>
        <w:rPr>
          <w:rFonts w:ascii="Segoe UI" w:hAnsi="Segoe UI"/>
          <w:color w:val="00141E"/>
        </w:rPr>
        <w:t>on</w:t>
      </w:r>
      <w:r>
        <w:rPr>
          <w:rFonts w:ascii="Segoe UI" w:hAnsi="Segoe UI"/>
          <w:color w:val="00141E"/>
          <w:spacing w:val="-18"/>
        </w:rPr>
        <w:t> </w:t>
      </w:r>
      <w:r>
        <w:rPr>
          <w:rFonts w:ascii="Segoe UI" w:hAnsi="Segoe UI"/>
          <w:color w:val="00141E"/>
        </w:rPr>
        <w:t>the</w:t>
      </w:r>
      <w:r>
        <w:rPr>
          <w:rFonts w:ascii="Segoe UI" w:hAnsi="Segoe UI"/>
          <w:color w:val="00141E"/>
          <w:spacing w:val="-20"/>
        </w:rPr>
        <w:t> </w:t>
      </w:r>
      <w:r>
        <w:rPr>
          <w:rFonts w:ascii="Segoe UI" w:hAnsi="Segoe UI"/>
          <w:color w:val="00141E"/>
        </w:rPr>
        <w:t>Virginia</w:t>
      </w:r>
      <w:r>
        <w:rPr>
          <w:rFonts w:ascii="Segoe UI" w:hAnsi="Segoe UI"/>
          <w:color w:val="00141E"/>
          <w:spacing w:val="-18"/>
        </w:rPr>
        <w:t> </w:t>
      </w:r>
      <w:r>
        <w:rPr>
          <w:rFonts w:ascii="Segoe UI" w:hAnsi="Segoe UI"/>
          <w:color w:val="00141E"/>
        </w:rPr>
        <w:t>Slims</w:t>
      </w:r>
      <w:r>
        <w:rPr>
          <w:rFonts w:ascii="Segoe UI" w:hAnsi="Segoe UI"/>
          <w:color w:val="00141E"/>
          <w:spacing w:val="-17"/>
        </w:rPr>
        <w:t> </w:t>
      </w:r>
      <w:r>
        <w:rPr>
          <w:rFonts w:ascii="Segoe UI" w:hAnsi="Segoe UI"/>
          <w:color w:val="00141E"/>
        </w:rPr>
        <w:t>Tour.</w:t>
      </w:r>
      <w:r>
        <w:rPr>
          <w:rFonts w:ascii="Segoe UI" w:hAnsi="Segoe UI"/>
          <w:color w:val="00141E"/>
          <w:spacing w:val="-18"/>
        </w:rPr>
        <w:t> </w:t>
      </w:r>
      <w:r>
        <w:rPr>
          <w:rFonts w:ascii="Segoe UI" w:hAnsi="Segoe UI"/>
          <w:color w:val="00141E"/>
        </w:rPr>
        <w:t>She</w:t>
      </w:r>
      <w:r>
        <w:rPr>
          <w:rFonts w:ascii="Segoe UI" w:hAnsi="Segoe UI"/>
          <w:color w:val="00141E"/>
          <w:spacing w:val="-19"/>
        </w:rPr>
        <w:t> </w:t>
      </w:r>
      <w:r>
        <w:rPr>
          <w:rFonts w:ascii="Segoe UI" w:hAnsi="Segoe UI"/>
          <w:color w:val="00141E"/>
        </w:rPr>
        <w:t>competed</w:t>
      </w:r>
      <w:r>
        <w:rPr>
          <w:rFonts w:ascii="Segoe UI" w:hAnsi="Segoe UI"/>
          <w:color w:val="00141E"/>
          <w:spacing w:val="-19"/>
        </w:rPr>
        <w:t> </w:t>
      </w:r>
      <w:r>
        <w:rPr>
          <w:rFonts w:ascii="Segoe UI" w:hAnsi="Segoe UI"/>
          <w:color w:val="00141E"/>
        </w:rPr>
        <w:t>in</w:t>
      </w:r>
      <w:r>
        <w:rPr>
          <w:rFonts w:ascii="Segoe UI" w:hAnsi="Segoe UI"/>
          <w:color w:val="00141E"/>
          <w:spacing w:val="-18"/>
        </w:rPr>
        <w:t> </w:t>
      </w:r>
      <w:r>
        <w:rPr>
          <w:rFonts w:ascii="Segoe UI" w:hAnsi="Segoe UI"/>
          <w:color w:val="00141E"/>
        </w:rPr>
        <w:t>Wimbledon, the French Open and the U.S. Open. She absolutely loved tennis and continued to compete in tournaments throughout her life. In recent years, she was on the board of directors of the International Cup and played in many matches representing the United States in friendly competitions against other countries. She made many, many lifelong friends through the game of tennis, and always was willing to give of herself to help any of her friends. In 2013, she received the prestigious USTA Service Bowl Award at the U.S. Open for her notable contributions to the "Sportsmanship, Fellowship, and Service of Tennis." Margie was a partner and shareholder in the law firm of Jones, Foster, Johnson, and Stubbs, and a recognized expert in commercial and business litigation. She was a Fellow in the American Bar Foundation. She was recognized as one of the top lawyers in South Florida in Labor and Employment Law and Corporate and Business Litigation and was</w:t>
      </w:r>
      <w:r>
        <w:rPr>
          <w:rFonts w:ascii="Segoe UI" w:hAnsi="Segoe UI"/>
          <w:color w:val="00141E"/>
          <w:spacing w:val="8"/>
        </w:rPr>
        <w:t> </w:t>
      </w:r>
      <w:r>
        <w:rPr>
          <w:rFonts w:ascii="Segoe UI" w:hAnsi="Segoe UI"/>
          <w:color w:val="00141E"/>
        </w:rPr>
        <w:t>named</w:t>
      </w:r>
      <w:r>
        <w:rPr>
          <w:rFonts w:ascii="Segoe UI" w:hAnsi="Segoe UI"/>
          <w:color w:val="00141E"/>
          <w:spacing w:val="10"/>
        </w:rPr>
        <w:t> </w:t>
      </w:r>
      <w:r>
        <w:rPr>
          <w:rFonts w:ascii="Segoe UI" w:hAnsi="Segoe UI"/>
          <w:color w:val="00141E"/>
        </w:rPr>
        <w:t>"West</w:t>
      </w:r>
      <w:r>
        <w:rPr>
          <w:rFonts w:ascii="Segoe UI" w:hAnsi="Segoe UI"/>
          <w:color w:val="00141E"/>
          <w:spacing w:val="10"/>
        </w:rPr>
        <w:t> </w:t>
      </w:r>
      <w:r>
        <w:rPr>
          <w:rFonts w:ascii="Segoe UI" w:hAnsi="Segoe UI"/>
          <w:color w:val="00141E"/>
        </w:rPr>
        <w:t>Palm</w:t>
      </w:r>
      <w:r>
        <w:rPr>
          <w:rFonts w:ascii="Segoe UI" w:hAnsi="Segoe UI"/>
          <w:color w:val="00141E"/>
          <w:spacing w:val="9"/>
        </w:rPr>
        <w:t> </w:t>
      </w:r>
      <w:r>
        <w:rPr>
          <w:rFonts w:ascii="Segoe UI" w:hAnsi="Segoe UI"/>
          <w:color w:val="00141E"/>
        </w:rPr>
        <w:t>Beach</w:t>
      </w:r>
      <w:r>
        <w:rPr>
          <w:rFonts w:ascii="Segoe UI" w:hAnsi="Segoe UI"/>
          <w:color w:val="00141E"/>
          <w:spacing w:val="11"/>
        </w:rPr>
        <w:t> </w:t>
      </w:r>
      <w:r>
        <w:rPr>
          <w:rFonts w:ascii="Segoe UI" w:hAnsi="Segoe UI"/>
          <w:color w:val="00141E"/>
        </w:rPr>
        <w:t>2014</w:t>
      </w:r>
      <w:r>
        <w:rPr>
          <w:rFonts w:ascii="Segoe UI" w:hAnsi="Segoe UI"/>
          <w:color w:val="00141E"/>
          <w:spacing w:val="9"/>
        </w:rPr>
        <w:t> </w:t>
      </w:r>
      <w:r>
        <w:rPr>
          <w:rFonts w:ascii="Segoe UI" w:hAnsi="Segoe UI"/>
          <w:color w:val="00141E"/>
        </w:rPr>
        <w:t>Employment</w:t>
      </w:r>
      <w:r>
        <w:rPr>
          <w:rFonts w:ascii="Segoe UI" w:hAnsi="Segoe UI"/>
          <w:color w:val="00141E"/>
          <w:spacing w:val="10"/>
        </w:rPr>
        <w:t> </w:t>
      </w:r>
      <w:r>
        <w:rPr>
          <w:rFonts w:ascii="Segoe UI" w:hAnsi="Segoe UI"/>
          <w:color w:val="00141E"/>
        </w:rPr>
        <w:t>Lawyer</w:t>
      </w:r>
      <w:r>
        <w:rPr>
          <w:rFonts w:ascii="Segoe UI" w:hAnsi="Segoe UI"/>
          <w:color w:val="00141E"/>
          <w:spacing w:val="10"/>
        </w:rPr>
        <w:t> </w:t>
      </w:r>
      <w:r>
        <w:rPr>
          <w:rFonts w:ascii="Segoe UI" w:hAnsi="Segoe UI"/>
          <w:color w:val="00141E"/>
        </w:rPr>
        <w:t>of</w:t>
      </w:r>
      <w:r>
        <w:rPr>
          <w:rFonts w:ascii="Segoe UI" w:hAnsi="Segoe UI"/>
          <w:color w:val="00141E"/>
          <w:spacing w:val="9"/>
        </w:rPr>
        <w:t> </w:t>
      </w:r>
      <w:r>
        <w:rPr>
          <w:rFonts w:ascii="Segoe UI" w:hAnsi="Segoe UI"/>
          <w:color w:val="00141E"/>
        </w:rPr>
        <w:t>the</w:t>
      </w:r>
      <w:r>
        <w:rPr>
          <w:rFonts w:ascii="Segoe UI" w:hAnsi="Segoe UI"/>
          <w:color w:val="00141E"/>
          <w:spacing w:val="9"/>
        </w:rPr>
        <w:t> </w:t>
      </w:r>
      <w:r>
        <w:rPr>
          <w:rFonts w:ascii="Segoe UI" w:hAnsi="Segoe UI"/>
          <w:color w:val="00141E"/>
        </w:rPr>
        <w:t>Year"</w:t>
      </w:r>
      <w:r>
        <w:rPr>
          <w:rFonts w:ascii="Segoe UI" w:hAnsi="Segoe UI"/>
          <w:color w:val="00141E"/>
          <w:spacing w:val="9"/>
        </w:rPr>
        <w:t> </w:t>
      </w:r>
      <w:r>
        <w:rPr>
          <w:rFonts w:ascii="Segoe UI" w:hAnsi="Segoe UI"/>
          <w:color w:val="00141E"/>
        </w:rPr>
        <w:t>in</w:t>
      </w:r>
      <w:r>
        <w:rPr>
          <w:rFonts w:ascii="Segoe UI" w:hAnsi="Segoe UI"/>
          <w:color w:val="00141E"/>
          <w:spacing w:val="10"/>
        </w:rPr>
        <w:t> </w:t>
      </w:r>
      <w:r>
        <w:rPr>
          <w:rFonts w:ascii="Segoe UI" w:hAnsi="Segoe UI"/>
          <w:color w:val="00141E"/>
        </w:rPr>
        <w:t>the</w:t>
      </w:r>
      <w:r>
        <w:rPr>
          <w:rFonts w:ascii="Segoe UI" w:hAnsi="Segoe UI"/>
          <w:color w:val="00141E"/>
          <w:spacing w:val="9"/>
        </w:rPr>
        <w:t> </w:t>
      </w:r>
      <w:r>
        <w:rPr>
          <w:rFonts w:ascii="Segoe UI" w:hAnsi="Segoe UI"/>
          <w:color w:val="00141E"/>
        </w:rPr>
        <w:t>category</w:t>
      </w:r>
      <w:r>
        <w:rPr>
          <w:rFonts w:ascii="Segoe UI" w:hAnsi="Segoe UI"/>
          <w:color w:val="00141E"/>
          <w:spacing w:val="9"/>
        </w:rPr>
        <w:t> </w:t>
      </w:r>
      <w:r>
        <w:rPr>
          <w:rFonts w:ascii="Segoe UI" w:hAnsi="Segoe UI"/>
          <w:color w:val="00141E"/>
        </w:rPr>
        <w:t>of</w:t>
      </w:r>
    </w:p>
    <w:p>
      <w:pPr>
        <w:spacing w:after="0" w:line="271" w:lineRule="auto"/>
        <w:jc w:val="both"/>
        <w:rPr>
          <w:rFonts w:ascii="Segoe UI" w:hAnsi="Segoe UI"/>
        </w:rPr>
        <w:sectPr>
          <w:footerReference w:type="default" r:id="rId27"/>
          <w:pgSz w:w="12240" w:h="15840"/>
          <w:pgMar w:footer="523" w:header="0" w:top="1360" w:bottom="720" w:left="0" w:right="0"/>
          <w:pgNumType w:start="2"/>
        </w:sectPr>
      </w:pPr>
    </w:p>
    <w:p>
      <w:pPr>
        <w:pStyle w:val="BodyText"/>
        <w:spacing w:line="271" w:lineRule="auto" w:before="81"/>
        <w:ind w:left="1440" w:right="1434"/>
        <w:jc w:val="both"/>
        <w:rPr>
          <w:rFonts w:ascii="Segoe UI"/>
        </w:rPr>
      </w:pPr>
      <w:r>
        <w:rPr>
          <w:rFonts w:ascii="Segoe UI"/>
          <w:color w:val="00141E"/>
        </w:rPr>
        <w:t>Litigation and Labor &amp; Employment Law by Best Lawyers in America. Funeral services</w:t>
      </w:r>
      <w:r>
        <w:rPr>
          <w:rFonts w:ascii="Segoe UI"/>
          <w:color w:val="00141E"/>
          <w:spacing w:val="-47"/>
        </w:rPr>
        <w:t> </w:t>
      </w:r>
      <w:r>
        <w:rPr>
          <w:rFonts w:ascii="Segoe UI"/>
          <w:color w:val="00141E"/>
        </w:rPr>
        <w:t>will be held on Monday, Jan, 21 at 4:00PM at Quattlebaum Funeral home, 5411 Okeechobee Blvd, West Palm. The family kindly requests no flowers. Instead, donations may be made to Rollins College, and designated for Women's Tennis. Send checks to David Cooper at 1807 Barker Dr. Winter Park, FL</w:t>
      </w:r>
      <w:r>
        <w:rPr>
          <w:rFonts w:ascii="Segoe UI"/>
          <w:color w:val="00141E"/>
          <w:spacing w:val="-8"/>
        </w:rPr>
        <w:t> </w:t>
      </w:r>
      <w:r>
        <w:rPr>
          <w:rFonts w:ascii="Segoe UI"/>
          <w:color w:val="00141E"/>
        </w:rPr>
        <w:t>32789.</w:t>
      </w:r>
    </w:p>
    <w:p>
      <w:pPr>
        <w:pStyle w:val="BodyText"/>
        <w:spacing w:before="1"/>
        <w:rPr>
          <w:rFonts w:ascii="Segoe UI"/>
          <w:sz w:val="32"/>
        </w:rPr>
      </w:pPr>
    </w:p>
    <w:p>
      <w:pPr>
        <w:spacing w:before="0"/>
        <w:ind w:left="1440" w:right="0" w:firstLine="0"/>
        <w:jc w:val="both"/>
        <w:rPr>
          <w:rFonts w:ascii="Segoe UI"/>
          <w:i/>
          <w:sz w:val="21"/>
        </w:rPr>
      </w:pPr>
      <w:r>
        <w:rPr>
          <w:rFonts w:ascii="Segoe UI"/>
          <w:i/>
          <w:color w:val="404041"/>
          <w:sz w:val="21"/>
        </w:rPr>
        <w:t>Published in The Palm Beach Post from Jan. 6 to Jan. 20, 2019</w:t>
      </w:r>
    </w:p>
    <w:p>
      <w:pPr>
        <w:spacing w:after="0"/>
        <w:jc w:val="both"/>
        <w:rPr>
          <w:rFonts w:ascii="Segoe UI"/>
          <w:sz w:val="21"/>
        </w:rPr>
        <w:sectPr>
          <w:pgSz w:w="12240" w:h="15840"/>
          <w:pgMar w:header="0" w:footer="523" w:top="1400" w:bottom="720" w:left="0" w:right="0"/>
        </w:sectPr>
      </w:pPr>
    </w:p>
    <w:p>
      <w:pPr>
        <w:pStyle w:val="BodyText"/>
        <w:ind w:left="1140"/>
        <w:rPr>
          <w:rFonts w:ascii="Segoe UI"/>
          <w:sz w:val="20"/>
        </w:rPr>
      </w:pPr>
      <w:r>
        <w:rPr>
          <w:rFonts w:ascii="Segoe UI"/>
          <w:sz w:val="20"/>
        </w:rPr>
        <w:pict>
          <v:shape style="width:498pt;height:80pt;mso-position-horizontal-relative:char;mso-position-vertical-relative:line" type="#_x0000_t202" filled="false" stroked="false">
            <w10:anchorlock/>
            <v:textbox inset="0,0,0,0">
              <w:txbxContent>
                <w:p>
                  <w:pPr>
                    <w:tabs>
                      <w:tab w:pos="4957" w:val="left" w:leader="none"/>
                      <w:tab w:pos="7856" w:val="left" w:leader="none"/>
                    </w:tabs>
                    <w:spacing w:before="371"/>
                    <w:ind w:left="2173" w:right="0" w:firstLine="0"/>
                    <w:jc w:val="left"/>
                    <w:rPr>
                      <w:rFonts w:ascii="Cambria"/>
                      <w:sz w:val="76"/>
                    </w:rPr>
                  </w:pPr>
                  <w:bookmarkStart w:name="9 - Exhibit G - Update Section Bulletin " w:id="29"/>
                  <w:bookmarkEnd w:id="29"/>
                  <w:r>
                    <w:rPr/>
                  </w:r>
                  <w:r>
                    <w:rPr>
                      <w:rFonts w:ascii="Cambria"/>
                      <w:color w:val="34479C"/>
                      <w:sz w:val="76"/>
                    </w:rPr>
                    <w:t>Section</w:t>
                    <w:tab/>
                  </w:r>
                  <w:r>
                    <w:rPr>
                      <w:rFonts w:ascii="Cambria"/>
                      <w:color w:val="34479C"/>
                      <w:spacing w:val="-3"/>
                      <w:sz w:val="76"/>
                    </w:rPr>
                    <w:t>Bulletin</w:t>
                    <w:tab/>
                  </w:r>
                  <w:r>
                    <w:rPr>
                      <w:rFonts w:ascii="Cambria"/>
                      <w:color w:val="34479C"/>
                      <w:spacing w:val="-5"/>
                      <w:sz w:val="76"/>
                    </w:rPr>
                    <w:t>Board</w:t>
                  </w:r>
                </w:p>
              </w:txbxContent>
            </v:textbox>
          </v:shape>
        </w:pict>
      </w:r>
      <w:r>
        <w:rPr>
          <w:rFonts w:ascii="Segoe UI"/>
          <w:sz w:val="20"/>
        </w:rPr>
      </w:r>
    </w:p>
    <w:p>
      <w:pPr>
        <w:pStyle w:val="BodyText"/>
        <w:rPr>
          <w:rFonts w:ascii="Segoe UI"/>
          <w:i/>
          <w:sz w:val="20"/>
        </w:rPr>
      </w:pPr>
    </w:p>
    <w:p>
      <w:pPr>
        <w:pStyle w:val="BodyText"/>
        <w:spacing w:before="3"/>
        <w:rPr>
          <w:rFonts w:ascii="Segoe UI"/>
          <w:i/>
          <w:sz w:val="29"/>
        </w:rPr>
      </w:pPr>
    </w:p>
    <w:p>
      <w:pPr>
        <w:spacing w:after="0"/>
        <w:rPr>
          <w:rFonts w:ascii="Segoe UI"/>
          <w:sz w:val="29"/>
        </w:rPr>
        <w:sectPr>
          <w:footerReference w:type="default" r:id="rId29"/>
          <w:pgSz w:w="12240" w:h="15840"/>
          <w:pgMar w:footer="379" w:header="0" w:top="1200" w:bottom="560" w:left="0" w:right="0"/>
        </w:sectPr>
      </w:pPr>
    </w:p>
    <w:p>
      <w:pPr>
        <w:spacing w:line="276" w:lineRule="auto" w:before="94"/>
        <w:ind w:left="1215" w:right="0" w:firstLine="1"/>
        <w:jc w:val="center"/>
        <w:rPr>
          <w:rFonts w:ascii="Arial"/>
          <w:sz w:val="24"/>
        </w:rPr>
      </w:pPr>
      <w:r>
        <w:rPr/>
        <w:pict>
          <v:group style="position:absolute;margin-left:36pt;margin-top:36pt;width:540pt;height:720pt;mso-position-horizontal-relative:page;mso-position-vertical-relative:page;z-index:-253889536" coordorigin="720,720" coordsize="10800,14400">
            <v:rect style="position:absolute;left:720;top:720;width:10800;height:14400" filled="true" fillcolor="#34479c" stroked="false">
              <v:fill type="solid"/>
            </v:rect>
            <v:rect style="position:absolute;left:996;top:1008;width:10248;height:13776" filled="true" fillcolor="#ffffff" stroked="false">
              <v:fill type="solid"/>
            </v:rect>
            <v:rect style="position:absolute;left:1140;top:1192;width:9960;height:1600" filled="true" fillcolor="#fff200" stroked="false">
              <v:fill type="solid"/>
            </v:rect>
            <v:line style="position:absolute" from="6180,3480" to="6180,12696" stroked="true" strokeweight="3pt" strokecolor="#a6a6d2">
              <v:stroke dashstyle="solid"/>
            </v:line>
            <v:line style="position:absolute" from="1130,3044" to="11090,3044" stroked="true" strokeweight="6pt" strokecolor="#34479c">
              <v:stroke dashstyle="solid"/>
            </v:line>
            <v:shape style="position:absolute;left:1047;top:1065;width:2022;height:2098" type="#_x0000_t75" stroked="false">
              <v:imagedata r:id="rId30" o:title=""/>
            </v:shape>
            <v:shape style="position:absolute;left:5350;top:12976;width:1540;height:1536" type="#_x0000_t75" stroked="false">
              <v:imagedata r:id="rId31" o:title=""/>
            </v:shape>
            <w10:wrap type="none"/>
          </v:group>
        </w:pict>
      </w:r>
      <w:r>
        <w:rPr>
          <w:rFonts w:ascii="Arial"/>
          <w:b/>
          <w:color w:val="00AEEF"/>
          <w:sz w:val="25"/>
        </w:rPr>
        <w:t>19th Labor &amp; Employment Law Annual Update and Certification Review (2882) </w:t>
      </w:r>
      <w:r>
        <w:rPr>
          <w:rFonts w:ascii="Arial"/>
          <w:color w:val="231F20"/>
          <w:sz w:val="24"/>
        </w:rPr>
        <w:t>January 17-18, 2019</w:t>
      </w:r>
    </w:p>
    <w:p>
      <w:pPr>
        <w:pStyle w:val="BodyText"/>
        <w:spacing w:before="29"/>
        <w:ind w:left="1245" w:right="29"/>
        <w:jc w:val="center"/>
        <w:rPr>
          <w:rFonts w:ascii="Arial"/>
        </w:rPr>
      </w:pPr>
      <w:r>
        <w:rPr>
          <w:rFonts w:ascii="Arial"/>
          <w:color w:val="231F20"/>
        </w:rPr>
        <w:t>Doubletree by Hilton at SeaWorld, Orlando</w:t>
      </w:r>
    </w:p>
    <w:p>
      <w:pPr>
        <w:pStyle w:val="Heading6"/>
        <w:spacing w:before="72"/>
        <w:ind w:left="1245" w:right="28"/>
      </w:pPr>
      <w:r>
        <w:rPr>
          <w:color w:val="231F20"/>
        </w:rPr>
        <w:t>EC Mtg: January 17, 2019</w:t>
      </w:r>
    </w:p>
    <w:p>
      <w:pPr>
        <w:pStyle w:val="BodyText"/>
        <w:rPr>
          <w:rFonts w:ascii="Arial"/>
          <w:b/>
          <w:sz w:val="26"/>
        </w:rPr>
      </w:pPr>
    </w:p>
    <w:p>
      <w:pPr>
        <w:spacing w:line="252" w:lineRule="auto" w:before="198"/>
        <w:ind w:left="1245" w:right="26" w:firstLine="0"/>
        <w:jc w:val="center"/>
        <w:rPr>
          <w:rFonts w:ascii="Arial"/>
          <w:b/>
          <w:sz w:val="25"/>
        </w:rPr>
      </w:pPr>
      <w:r>
        <w:rPr>
          <w:rFonts w:ascii="Arial"/>
          <w:b/>
          <w:color w:val="00AEEF"/>
          <w:sz w:val="25"/>
        </w:rPr>
        <w:t>FLSA</w:t>
      </w:r>
      <w:r>
        <w:rPr>
          <w:rFonts w:ascii="Arial"/>
          <w:b/>
          <w:color w:val="00AEEF"/>
          <w:spacing w:val="-33"/>
          <w:sz w:val="25"/>
        </w:rPr>
        <w:t> </w:t>
      </w:r>
      <w:r>
        <w:rPr>
          <w:rFonts w:ascii="Arial"/>
          <w:b/>
          <w:color w:val="00AEEF"/>
          <w:sz w:val="25"/>
        </w:rPr>
        <w:t>Ethical</w:t>
      </w:r>
      <w:r>
        <w:rPr>
          <w:rFonts w:ascii="Arial"/>
          <w:b/>
          <w:color w:val="00AEEF"/>
          <w:spacing w:val="-26"/>
          <w:sz w:val="25"/>
        </w:rPr>
        <w:t> </w:t>
      </w:r>
      <w:r>
        <w:rPr>
          <w:rFonts w:ascii="Arial"/>
          <w:b/>
          <w:color w:val="00AEEF"/>
          <w:sz w:val="25"/>
        </w:rPr>
        <w:t>Conundrums:</w:t>
      </w:r>
      <w:r>
        <w:rPr>
          <w:rFonts w:ascii="Arial"/>
          <w:b/>
          <w:color w:val="00AEEF"/>
          <w:spacing w:val="-27"/>
          <w:sz w:val="25"/>
        </w:rPr>
        <w:t> </w:t>
      </w:r>
      <w:r>
        <w:rPr>
          <w:rFonts w:ascii="Arial"/>
          <w:b/>
          <w:color w:val="00AEEF"/>
          <w:sz w:val="25"/>
        </w:rPr>
        <w:t>Good</w:t>
      </w:r>
      <w:r>
        <w:rPr>
          <w:rFonts w:ascii="Arial"/>
          <w:b/>
          <w:color w:val="00AEEF"/>
          <w:spacing w:val="-27"/>
          <w:sz w:val="25"/>
        </w:rPr>
        <w:t> </w:t>
      </w:r>
      <w:r>
        <w:rPr>
          <w:rFonts w:ascii="Arial"/>
          <w:b/>
          <w:color w:val="00AEEF"/>
          <w:sz w:val="25"/>
        </w:rPr>
        <w:t>Faith Defense</w:t>
      </w:r>
      <w:r>
        <w:rPr>
          <w:rFonts w:ascii="Arial"/>
          <w:b/>
          <w:color w:val="00AEEF"/>
          <w:spacing w:val="-24"/>
          <w:sz w:val="25"/>
        </w:rPr>
        <w:t> </w:t>
      </w:r>
      <w:r>
        <w:rPr>
          <w:rFonts w:ascii="Arial"/>
          <w:b/>
          <w:color w:val="00AEEF"/>
          <w:spacing w:val="-3"/>
          <w:sz w:val="25"/>
        </w:rPr>
        <w:t>Versus</w:t>
      </w:r>
      <w:r>
        <w:rPr>
          <w:rFonts w:ascii="Arial"/>
          <w:b/>
          <w:color w:val="00AEEF"/>
          <w:spacing w:val="-23"/>
          <w:sz w:val="25"/>
        </w:rPr>
        <w:t> </w:t>
      </w:r>
      <w:r>
        <w:rPr>
          <w:rFonts w:ascii="Arial"/>
          <w:b/>
          <w:color w:val="00AEEF"/>
          <w:sz w:val="25"/>
        </w:rPr>
        <w:t>Lawyer</w:t>
      </w:r>
      <w:r>
        <w:rPr>
          <w:rFonts w:ascii="Arial"/>
          <w:b/>
          <w:color w:val="00AEEF"/>
          <w:spacing w:val="-23"/>
          <w:sz w:val="25"/>
        </w:rPr>
        <w:t> </w:t>
      </w:r>
      <w:r>
        <w:rPr>
          <w:rFonts w:ascii="Arial"/>
          <w:b/>
          <w:color w:val="00AEEF"/>
          <w:sz w:val="25"/>
        </w:rPr>
        <w:t>as</w:t>
      </w:r>
      <w:r>
        <w:rPr>
          <w:rFonts w:ascii="Arial"/>
          <w:b/>
          <w:color w:val="00AEEF"/>
          <w:spacing w:val="-24"/>
          <w:sz w:val="25"/>
        </w:rPr>
        <w:t> </w:t>
      </w:r>
      <w:r>
        <w:rPr>
          <w:rFonts w:ascii="Arial"/>
          <w:b/>
          <w:color w:val="00AEEF"/>
          <w:sz w:val="25"/>
        </w:rPr>
        <w:t>Witness</w:t>
      </w:r>
      <w:r>
        <w:rPr>
          <w:rFonts w:ascii="Arial"/>
          <w:b/>
          <w:color w:val="00AEEF"/>
          <w:spacing w:val="-23"/>
          <w:sz w:val="25"/>
        </w:rPr>
        <w:t> </w:t>
      </w:r>
      <w:r>
        <w:rPr>
          <w:rFonts w:ascii="Arial"/>
          <w:b/>
          <w:color w:val="00AEEF"/>
          <w:sz w:val="25"/>
        </w:rPr>
        <w:t>and Sanctionable (Mis)Conduct</w:t>
      </w:r>
      <w:r>
        <w:rPr>
          <w:rFonts w:ascii="Arial"/>
          <w:b/>
          <w:color w:val="00AEEF"/>
          <w:spacing w:val="-29"/>
          <w:sz w:val="25"/>
        </w:rPr>
        <w:t> </w:t>
      </w:r>
      <w:r>
        <w:rPr>
          <w:rFonts w:ascii="Arial"/>
          <w:b/>
          <w:color w:val="00AEEF"/>
          <w:spacing w:val="-3"/>
          <w:sz w:val="25"/>
        </w:rPr>
        <w:t>(3113)</w:t>
      </w:r>
    </w:p>
    <w:p>
      <w:pPr>
        <w:spacing w:before="57"/>
        <w:ind w:left="2513" w:right="0" w:firstLine="0"/>
        <w:jc w:val="left"/>
        <w:rPr>
          <w:rFonts w:ascii="Arial"/>
          <w:b/>
          <w:sz w:val="24"/>
        </w:rPr>
      </w:pPr>
      <w:r>
        <w:rPr>
          <w:rFonts w:ascii="Arial"/>
          <w:b/>
          <w:color w:val="231F20"/>
          <w:sz w:val="24"/>
        </w:rPr>
        <w:t>AUDIO WEBCAST</w:t>
      </w:r>
    </w:p>
    <w:p>
      <w:pPr>
        <w:pStyle w:val="BodyText"/>
        <w:spacing w:before="72"/>
        <w:ind w:left="1245" w:right="28"/>
        <w:jc w:val="center"/>
        <w:rPr>
          <w:rFonts w:ascii="Arial"/>
        </w:rPr>
      </w:pPr>
      <w:r>
        <w:rPr>
          <w:rFonts w:ascii="Arial"/>
          <w:color w:val="231F20"/>
        </w:rPr>
        <w:t>February 6, 2019</w:t>
      </w:r>
    </w:p>
    <w:p>
      <w:pPr>
        <w:pStyle w:val="BodyText"/>
        <w:spacing w:before="72"/>
        <w:ind w:left="1245" w:right="29"/>
        <w:jc w:val="center"/>
        <w:rPr>
          <w:rFonts w:ascii="Arial" w:hAnsi="Arial"/>
        </w:rPr>
      </w:pPr>
      <w:r>
        <w:rPr>
          <w:rFonts w:ascii="Arial" w:hAnsi="Arial"/>
          <w:color w:val="231F20"/>
        </w:rPr>
        <w:t>12:00 noon – 12:50 p.m.</w:t>
      </w:r>
    </w:p>
    <w:p>
      <w:pPr>
        <w:pStyle w:val="BodyText"/>
        <w:rPr>
          <w:rFonts w:ascii="Arial"/>
          <w:sz w:val="26"/>
        </w:rPr>
      </w:pPr>
    </w:p>
    <w:p>
      <w:pPr>
        <w:spacing w:line="252" w:lineRule="auto" w:before="198"/>
        <w:ind w:left="1245" w:right="26" w:firstLine="0"/>
        <w:jc w:val="center"/>
        <w:rPr>
          <w:rFonts w:ascii="Arial"/>
          <w:b/>
          <w:sz w:val="25"/>
        </w:rPr>
      </w:pPr>
      <w:r>
        <w:rPr>
          <w:rFonts w:ascii="Arial"/>
          <w:b/>
          <w:color w:val="00AEEF"/>
          <w:sz w:val="25"/>
        </w:rPr>
        <w:t>Sexual Harassment Issues in the #MeToo Era: What Has Changed and What Has Stayed the Same (2887)</w:t>
      </w:r>
    </w:p>
    <w:p>
      <w:pPr>
        <w:pStyle w:val="Heading6"/>
        <w:spacing w:before="57"/>
        <w:ind w:left="2513"/>
        <w:jc w:val="left"/>
      </w:pPr>
      <w:r>
        <w:rPr>
          <w:color w:val="231F20"/>
        </w:rPr>
        <w:t>AUDIO WEBCAST</w:t>
      </w:r>
    </w:p>
    <w:p>
      <w:pPr>
        <w:pStyle w:val="BodyText"/>
        <w:spacing w:before="72"/>
        <w:ind w:left="1245" w:right="28"/>
        <w:jc w:val="center"/>
        <w:rPr>
          <w:rFonts w:ascii="Arial"/>
        </w:rPr>
      </w:pPr>
      <w:r>
        <w:rPr>
          <w:rFonts w:ascii="Arial"/>
          <w:color w:val="231F20"/>
        </w:rPr>
        <w:t>March 6, 2019</w:t>
      </w:r>
    </w:p>
    <w:p>
      <w:pPr>
        <w:pStyle w:val="BodyText"/>
        <w:spacing w:before="72"/>
        <w:ind w:left="1245" w:right="29"/>
        <w:jc w:val="center"/>
        <w:rPr>
          <w:rFonts w:ascii="Arial" w:hAnsi="Arial"/>
        </w:rPr>
      </w:pPr>
      <w:r>
        <w:rPr>
          <w:rFonts w:ascii="Arial" w:hAnsi="Arial"/>
          <w:color w:val="231F20"/>
        </w:rPr>
        <w:t>12:00 noon – 12:50 p.m.</w:t>
      </w:r>
    </w:p>
    <w:p>
      <w:pPr>
        <w:pStyle w:val="BodyText"/>
        <w:rPr>
          <w:rFonts w:ascii="Arial"/>
          <w:sz w:val="26"/>
        </w:rPr>
      </w:pPr>
    </w:p>
    <w:p>
      <w:pPr>
        <w:pStyle w:val="Heading5"/>
        <w:spacing w:line="252" w:lineRule="auto" w:before="198"/>
        <w:ind w:left="1626" w:right="406"/>
      </w:pPr>
      <w:r>
        <w:rPr>
          <w:color w:val="00AEEF"/>
        </w:rPr>
        <w:t>Be in the Know: Highlights of Executive Compensation for Employment Agreements (2885) and Tax Considerations in Employment Law (2886)</w:t>
      </w:r>
    </w:p>
    <w:p>
      <w:pPr>
        <w:pStyle w:val="Heading6"/>
        <w:spacing w:before="57"/>
        <w:ind w:left="2513"/>
        <w:jc w:val="left"/>
      </w:pPr>
      <w:r>
        <w:rPr>
          <w:color w:val="231F20"/>
        </w:rPr>
        <w:t>AUDIO WEBCAST</w:t>
      </w:r>
    </w:p>
    <w:p>
      <w:pPr>
        <w:pStyle w:val="BodyText"/>
        <w:spacing w:before="72"/>
        <w:ind w:left="1245" w:right="28"/>
        <w:jc w:val="center"/>
        <w:rPr>
          <w:rFonts w:ascii="Arial"/>
        </w:rPr>
      </w:pPr>
      <w:r>
        <w:rPr>
          <w:rFonts w:ascii="Arial"/>
          <w:color w:val="231F20"/>
        </w:rPr>
        <w:t>March 27, 2019</w:t>
      </w:r>
    </w:p>
    <w:p>
      <w:pPr>
        <w:pStyle w:val="BodyText"/>
        <w:spacing w:before="73"/>
        <w:ind w:left="1245" w:right="29"/>
        <w:jc w:val="center"/>
        <w:rPr>
          <w:rFonts w:ascii="Arial" w:hAnsi="Arial"/>
        </w:rPr>
      </w:pPr>
      <w:r>
        <w:rPr>
          <w:rFonts w:ascii="Arial" w:hAnsi="Arial"/>
          <w:color w:val="231F20"/>
        </w:rPr>
        <w:t>12:00 noon – 1:50 p.m.</w:t>
      </w:r>
    </w:p>
    <w:p>
      <w:pPr>
        <w:pStyle w:val="Heading5"/>
        <w:spacing w:line="273" w:lineRule="auto" w:before="94"/>
      </w:pPr>
      <w:r>
        <w:rPr>
          <w:b w:val="0"/>
        </w:rPr>
        <w:br w:type="column"/>
      </w:r>
      <w:r>
        <w:rPr>
          <w:color w:val="00AEEF"/>
        </w:rPr>
        <w:t>ADA Title III Cases: New Tactics and Strategies (3150)</w:t>
      </w:r>
    </w:p>
    <w:p>
      <w:pPr>
        <w:pStyle w:val="Heading6"/>
        <w:spacing w:before="57"/>
        <w:ind w:left="753" w:right="1493"/>
      </w:pPr>
      <w:r>
        <w:rPr>
          <w:color w:val="231F20"/>
        </w:rPr>
        <w:t>AUDIO WEBCAST</w:t>
      </w:r>
    </w:p>
    <w:p>
      <w:pPr>
        <w:pStyle w:val="BodyText"/>
        <w:spacing w:before="99"/>
        <w:ind w:left="753" w:right="1493"/>
        <w:jc w:val="center"/>
        <w:rPr>
          <w:rFonts w:ascii="Arial"/>
        </w:rPr>
      </w:pPr>
      <w:r>
        <w:rPr>
          <w:rFonts w:ascii="Arial"/>
          <w:color w:val="231F20"/>
        </w:rPr>
        <w:t>April 3, 2019</w:t>
      </w:r>
    </w:p>
    <w:p>
      <w:pPr>
        <w:pStyle w:val="BodyText"/>
        <w:spacing w:before="98"/>
        <w:ind w:left="752" w:right="1494"/>
        <w:jc w:val="center"/>
        <w:rPr>
          <w:rFonts w:ascii="Arial" w:hAnsi="Arial"/>
        </w:rPr>
      </w:pPr>
      <w:r>
        <w:rPr>
          <w:rFonts w:ascii="Arial" w:hAnsi="Arial"/>
          <w:color w:val="231F20"/>
        </w:rPr>
        <w:t>12:00 noon – 12:50 p.m.</w:t>
      </w:r>
    </w:p>
    <w:p>
      <w:pPr>
        <w:pStyle w:val="BodyText"/>
        <w:spacing w:before="10"/>
        <w:rPr>
          <w:rFonts w:ascii="Arial"/>
          <w:sz w:val="29"/>
        </w:rPr>
      </w:pPr>
    </w:p>
    <w:p>
      <w:pPr>
        <w:pStyle w:val="Heading5"/>
        <w:ind w:left="652" w:right="1392"/>
      </w:pPr>
      <w:r>
        <w:rPr>
          <w:color w:val="00AEEF"/>
        </w:rPr>
        <w:t>Advanced Labor Topics 2019 (2888)</w:t>
      </w:r>
    </w:p>
    <w:p>
      <w:pPr>
        <w:pStyle w:val="BodyText"/>
        <w:spacing w:before="97"/>
        <w:ind w:left="753" w:right="1494"/>
        <w:jc w:val="center"/>
        <w:rPr>
          <w:rFonts w:ascii="Arial"/>
        </w:rPr>
      </w:pPr>
      <w:r>
        <w:rPr>
          <w:rFonts w:ascii="Arial"/>
          <w:color w:val="231F20"/>
        </w:rPr>
        <w:t>April 12-13, 2019</w:t>
      </w:r>
    </w:p>
    <w:p>
      <w:pPr>
        <w:pStyle w:val="BodyText"/>
        <w:spacing w:line="273" w:lineRule="auto" w:before="98"/>
        <w:ind w:left="753" w:right="1493"/>
        <w:jc w:val="center"/>
        <w:rPr>
          <w:rFonts w:ascii="Arial"/>
        </w:rPr>
      </w:pPr>
      <w:r>
        <w:rPr>
          <w:rFonts w:ascii="Arial"/>
          <w:color w:val="231F20"/>
        </w:rPr>
        <w:t>Wyndham Grand Jupiter at Harbourside Place, Jupiter</w:t>
      </w:r>
    </w:p>
    <w:p>
      <w:pPr>
        <w:pStyle w:val="Heading6"/>
        <w:spacing w:before="60"/>
        <w:ind w:left="753" w:right="1492"/>
      </w:pPr>
      <w:r>
        <w:rPr>
          <w:color w:val="231F20"/>
        </w:rPr>
        <w:t>EC Leadership Mtg: April 13, 2019</w:t>
      </w:r>
    </w:p>
    <w:p>
      <w:pPr>
        <w:pStyle w:val="BodyText"/>
        <w:spacing w:before="10"/>
        <w:rPr>
          <w:rFonts w:ascii="Arial"/>
          <w:b/>
          <w:sz w:val="29"/>
        </w:rPr>
      </w:pPr>
    </w:p>
    <w:p>
      <w:pPr>
        <w:spacing w:line="297" w:lineRule="auto" w:before="0"/>
        <w:ind w:left="753" w:right="1494" w:firstLine="0"/>
        <w:jc w:val="center"/>
        <w:rPr>
          <w:rFonts w:ascii="Arial"/>
          <w:b/>
          <w:sz w:val="24"/>
        </w:rPr>
      </w:pPr>
      <w:r>
        <w:rPr>
          <w:rFonts w:ascii="Arial"/>
          <w:b/>
          <w:color w:val="00AEEF"/>
          <w:sz w:val="25"/>
        </w:rPr>
        <w:t>Update on Gender Discrimination: The New Gender Equality (2883) </w:t>
      </w:r>
      <w:r>
        <w:rPr>
          <w:rFonts w:ascii="Arial"/>
          <w:b/>
          <w:color w:val="231F20"/>
          <w:sz w:val="24"/>
        </w:rPr>
        <w:t>AUDIO WEBCAST</w:t>
      </w:r>
    </w:p>
    <w:p>
      <w:pPr>
        <w:pStyle w:val="BodyText"/>
        <w:spacing w:before="32"/>
        <w:ind w:left="753" w:right="1493"/>
        <w:jc w:val="center"/>
        <w:rPr>
          <w:rFonts w:ascii="Arial"/>
        </w:rPr>
      </w:pPr>
      <w:r>
        <w:rPr>
          <w:rFonts w:ascii="Arial"/>
          <w:color w:val="231F20"/>
        </w:rPr>
        <w:t>June 5, 2019</w:t>
      </w:r>
    </w:p>
    <w:p>
      <w:pPr>
        <w:pStyle w:val="BodyText"/>
        <w:spacing w:before="98"/>
        <w:ind w:left="752" w:right="1494"/>
        <w:jc w:val="center"/>
        <w:rPr>
          <w:rFonts w:ascii="Arial" w:hAnsi="Arial"/>
        </w:rPr>
      </w:pPr>
      <w:r>
        <w:rPr>
          <w:rFonts w:ascii="Arial" w:hAnsi="Arial"/>
          <w:color w:val="231F20"/>
        </w:rPr>
        <w:t>12:00 noon – 12:50 p.m.</w:t>
      </w:r>
    </w:p>
    <w:p>
      <w:pPr>
        <w:pStyle w:val="BodyText"/>
        <w:spacing w:before="10"/>
        <w:rPr>
          <w:rFonts w:ascii="Arial"/>
          <w:sz w:val="29"/>
        </w:rPr>
      </w:pPr>
    </w:p>
    <w:p>
      <w:pPr>
        <w:pStyle w:val="Heading5"/>
      </w:pPr>
      <w:r>
        <w:rPr>
          <w:color w:val="00AEEF"/>
        </w:rPr>
        <w:t>Annual Meeting</w:t>
      </w:r>
    </w:p>
    <w:p>
      <w:pPr>
        <w:pStyle w:val="BodyText"/>
        <w:spacing w:before="97"/>
        <w:ind w:left="753" w:right="1493"/>
        <w:jc w:val="center"/>
        <w:rPr>
          <w:rFonts w:ascii="Arial"/>
        </w:rPr>
      </w:pPr>
      <w:r>
        <w:rPr>
          <w:rFonts w:ascii="Arial"/>
          <w:color w:val="231F20"/>
        </w:rPr>
        <w:t>June 27, 2019</w:t>
      </w:r>
    </w:p>
    <w:p>
      <w:pPr>
        <w:pStyle w:val="BodyText"/>
        <w:spacing w:before="98"/>
        <w:ind w:left="753" w:right="1494"/>
        <w:jc w:val="center"/>
        <w:rPr>
          <w:rFonts w:ascii="Arial"/>
        </w:rPr>
      </w:pPr>
      <w:r>
        <w:rPr>
          <w:rFonts w:ascii="Arial"/>
          <w:color w:val="231F20"/>
        </w:rPr>
        <w:t>Boca Raton Resort &amp; Club</w:t>
      </w:r>
    </w:p>
    <w:p>
      <w:pPr>
        <w:pStyle w:val="Heading6"/>
        <w:spacing w:before="99"/>
        <w:ind w:left="753" w:right="1494"/>
      </w:pPr>
      <w:r>
        <w:rPr>
          <w:color w:val="231F20"/>
        </w:rPr>
        <w:t>EC Mtg: June 27, 2019</w:t>
      </w:r>
    </w:p>
    <w:p>
      <w:pPr>
        <w:spacing w:after="0"/>
        <w:sectPr>
          <w:type w:val="continuous"/>
          <w:pgSz w:w="12240" w:h="15840"/>
          <w:pgMar w:top="540" w:bottom="280" w:left="0" w:right="0"/>
          <w:cols w:num="2" w:equalWidth="0">
            <w:col w:w="5863" w:space="40"/>
            <w:col w:w="6337"/>
          </w:cols>
        </w:sectPr>
      </w:pPr>
    </w:p>
    <w:p>
      <w:pPr>
        <w:spacing w:line="249" w:lineRule="auto" w:before="80"/>
        <w:ind w:left="2499" w:right="2497" w:firstLine="0"/>
        <w:jc w:val="center"/>
        <w:rPr>
          <w:rFonts w:ascii="Arial"/>
          <w:b/>
          <w:sz w:val="24"/>
        </w:rPr>
      </w:pPr>
      <w:r>
        <w:rPr/>
        <w:drawing>
          <wp:anchor distT="0" distB="0" distL="0" distR="0" allowOverlap="1" layoutInCell="1" locked="0" behindDoc="1" simplePos="0" relativeHeight="249428992">
            <wp:simplePos x="0" y="0"/>
            <wp:positionH relativeFrom="page">
              <wp:posOffset>355600</wp:posOffset>
            </wp:positionH>
            <wp:positionV relativeFrom="paragraph">
              <wp:posOffset>76097</wp:posOffset>
            </wp:positionV>
            <wp:extent cx="828166" cy="838199"/>
            <wp:effectExtent l="0" t="0" r="0" b="0"/>
            <wp:wrapNone/>
            <wp:docPr id="17" name="image12.png"/>
            <wp:cNvGraphicFramePr>
              <a:graphicFrameLocks noChangeAspect="1"/>
            </wp:cNvGraphicFramePr>
            <a:graphic>
              <a:graphicData uri="http://schemas.openxmlformats.org/drawingml/2006/picture">
                <pic:pic>
                  <pic:nvPicPr>
                    <pic:cNvPr id="18" name="image12.png"/>
                    <pic:cNvPicPr/>
                  </pic:nvPicPr>
                  <pic:blipFill>
                    <a:blip r:embed="rId33" cstate="print"/>
                    <a:stretch>
                      <a:fillRect/>
                    </a:stretch>
                  </pic:blipFill>
                  <pic:spPr>
                    <a:xfrm>
                      <a:off x="0" y="0"/>
                      <a:ext cx="828166" cy="838199"/>
                    </a:xfrm>
                    <a:prstGeom prst="rect">
                      <a:avLst/>
                    </a:prstGeom>
                  </pic:spPr>
                </pic:pic>
              </a:graphicData>
            </a:graphic>
          </wp:anchor>
        </w:drawing>
      </w:r>
      <w:bookmarkStart w:name="10 - Exhibit H - Updated Schedule-2882-1" w:id="30"/>
      <w:bookmarkEnd w:id="30"/>
      <w:r>
        <w:rPr/>
      </w:r>
      <w:r>
        <w:rPr>
          <w:rFonts w:ascii="Arial"/>
          <w:b/>
          <w:color w:val="231F20"/>
          <w:sz w:val="24"/>
        </w:rPr>
        <w:t>The Florida Bar Continuing Legal Education Committee and the Labor and Employment Law Section present</w:t>
      </w:r>
    </w:p>
    <w:p>
      <w:pPr>
        <w:spacing w:before="90"/>
        <w:ind w:left="0" w:right="0" w:firstLine="0"/>
        <w:jc w:val="center"/>
        <w:rPr>
          <w:b/>
          <w:sz w:val="56"/>
        </w:rPr>
      </w:pPr>
      <w:r>
        <w:rPr/>
        <w:pict>
          <v:shape style="position:absolute;margin-left:65.468597pt;margin-top:36.18465pt;width:481.1pt;height:47.7pt;mso-position-horizontal-relative:page;mso-position-vertical-relative:paragraph;z-index:-253885440" type="#_x0000_t202" filled="false" stroked="false">
            <v:textbox inset="0,0,0,0">
              <w:txbxContent>
                <w:p>
                  <w:pPr>
                    <w:spacing w:before="38"/>
                    <w:ind w:left="0" w:right="0" w:firstLine="0"/>
                    <w:jc w:val="left"/>
                    <w:rPr>
                      <w:b/>
                      <w:sz w:val="56"/>
                    </w:rPr>
                  </w:pPr>
                  <w:r>
                    <w:rPr>
                      <w:b/>
                      <w:color w:val="231F20"/>
                      <w:spacing w:val="3"/>
                      <w:sz w:val="56"/>
                    </w:rPr>
                    <w:t>Annual</w:t>
                  </w:r>
                  <w:r>
                    <w:rPr>
                      <w:b/>
                      <w:color w:val="231F20"/>
                      <w:spacing w:val="-48"/>
                      <w:sz w:val="56"/>
                    </w:rPr>
                    <w:t> </w:t>
                  </w:r>
                  <w:r>
                    <w:rPr>
                      <w:b/>
                      <w:color w:val="231F20"/>
                      <w:spacing w:val="-4"/>
                      <w:sz w:val="56"/>
                    </w:rPr>
                    <w:t>Update</w:t>
                  </w:r>
                  <w:r>
                    <w:rPr>
                      <w:b/>
                      <w:color w:val="231F20"/>
                      <w:spacing w:val="-48"/>
                      <w:sz w:val="56"/>
                    </w:rPr>
                    <w:t> </w:t>
                  </w:r>
                  <w:r>
                    <w:rPr>
                      <w:b/>
                      <w:color w:val="231F20"/>
                      <w:sz w:val="56"/>
                    </w:rPr>
                    <w:t>and</w:t>
                  </w:r>
                  <w:r>
                    <w:rPr>
                      <w:b/>
                      <w:color w:val="231F20"/>
                      <w:spacing w:val="-48"/>
                      <w:sz w:val="56"/>
                    </w:rPr>
                    <w:t> </w:t>
                  </w:r>
                  <w:r>
                    <w:rPr>
                      <w:b/>
                      <w:color w:val="231F20"/>
                      <w:spacing w:val="2"/>
                      <w:sz w:val="56"/>
                    </w:rPr>
                    <w:t>Certification</w:t>
                  </w:r>
                  <w:r>
                    <w:rPr>
                      <w:b/>
                      <w:color w:val="231F20"/>
                      <w:spacing w:val="-47"/>
                      <w:sz w:val="56"/>
                    </w:rPr>
                    <w:t> </w:t>
                  </w:r>
                  <w:r>
                    <w:rPr>
                      <w:b/>
                      <w:color w:val="231F20"/>
                      <w:spacing w:val="2"/>
                      <w:sz w:val="56"/>
                    </w:rPr>
                    <w:t>Review</w:t>
                  </w:r>
                </w:p>
              </w:txbxContent>
            </v:textbox>
            <w10:wrap type="none"/>
          </v:shape>
        </w:pict>
      </w:r>
      <w:r>
        <w:rPr>
          <w:b/>
          <w:color w:val="231F20"/>
          <w:sz w:val="56"/>
        </w:rPr>
        <w:t>19th Labor and Employment Law</w:t>
      </w:r>
    </w:p>
    <w:p>
      <w:pPr>
        <w:spacing w:before="818"/>
        <w:ind w:left="3286" w:right="3286" w:firstLine="0"/>
        <w:jc w:val="center"/>
        <w:rPr>
          <w:rFonts w:ascii="Arial" w:hAnsi="Arial"/>
          <w:sz w:val="18"/>
        </w:rPr>
      </w:pPr>
      <w:r>
        <w:rPr/>
        <w:pict>
          <v:shape style="position:absolute;margin-left:30pt;margin-top:59.327511pt;width:552pt;height:.1pt;mso-position-horizontal-relative:page;mso-position-vertical-relative:paragraph;z-index:-251638784;mso-wrap-distance-left:0;mso-wrap-distance-right:0" coordorigin="600,1187" coordsize="11040,0" path="m600,1187l11640,1187e" filled="false" stroked="true" strokeweight="4pt" strokecolor="#231f20">
            <v:path arrowok="t"/>
            <v:stroke dashstyle="solid"/>
            <w10:wrap type="topAndBottom"/>
          </v:shape>
        </w:pict>
      </w:r>
      <w:r>
        <w:rPr>
          <w:rFonts w:ascii="Arial" w:hAnsi="Arial"/>
          <w:color w:val="231F20"/>
          <w:sz w:val="18"/>
        </w:rPr>
        <w:t>Course No. 2882R • Advanced Level • Live Presentation</w:t>
      </w:r>
    </w:p>
    <w:p>
      <w:pPr>
        <w:pStyle w:val="BodyText"/>
        <w:spacing w:before="1"/>
        <w:rPr>
          <w:rFonts w:ascii="Arial"/>
          <w:sz w:val="6"/>
        </w:rPr>
      </w:pPr>
    </w:p>
    <w:p>
      <w:pPr>
        <w:spacing w:after="0"/>
        <w:rPr>
          <w:rFonts w:ascii="Arial"/>
          <w:sz w:val="6"/>
        </w:rPr>
        <w:sectPr>
          <w:footerReference w:type="default" r:id="rId32"/>
          <w:pgSz w:w="12240" w:h="15840"/>
          <w:pgMar w:footer="0" w:header="0" w:top="360" w:bottom="280" w:left="0" w:right="0"/>
          <w:pgBorders w:offsetFrom="page">
            <w:top w:val="thinThickSmallGap" w:color="231F20" w:space="16" w:sz="12"/>
            <w:left w:val="thinThickSmallGap" w:color="231F20" w:space="16" w:sz="12"/>
            <w:bottom w:val="thickThinSmallGap" w:color="231F20" w:space="16" w:sz="12"/>
            <w:right w:val="thickThinSmallGap" w:color="231F20" w:space="16" w:sz="12"/>
          </w:pgBorders>
        </w:sectPr>
      </w:pPr>
    </w:p>
    <w:p>
      <w:pPr>
        <w:spacing w:before="65"/>
        <w:ind w:left="540" w:right="0" w:firstLine="0"/>
        <w:jc w:val="left"/>
        <w:rPr>
          <w:rFonts w:ascii="Arial"/>
          <w:b/>
          <w:sz w:val="24"/>
        </w:rPr>
      </w:pPr>
      <w:r>
        <w:rPr>
          <w:rFonts w:ascii="Arial"/>
          <w:b/>
          <w:color w:val="231F20"/>
          <w:sz w:val="24"/>
          <w:u w:val="single" w:color="231F20"/>
        </w:rPr>
        <w:t>THURSDAY, JANUARY 17, 2019</w:t>
      </w:r>
    </w:p>
    <w:p>
      <w:pPr>
        <w:spacing w:before="99"/>
        <w:ind w:left="540" w:right="0" w:firstLine="0"/>
        <w:jc w:val="left"/>
        <w:rPr>
          <w:rFonts w:ascii="Arial" w:hAnsi="Arial"/>
          <w:sz w:val="18"/>
        </w:rPr>
      </w:pPr>
      <w:r>
        <w:rPr>
          <w:rFonts w:ascii="Arial" w:hAnsi="Arial"/>
          <w:color w:val="231F20"/>
          <w:sz w:val="18"/>
        </w:rPr>
        <w:t>7:45 a.m. – 8:10 a.m.</w:t>
      </w:r>
    </w:p>
    <w:p>
      <w:pPr>
        <w:spacing w:before="11"/>
        <w:ind w:left="540" w:right="0" w:firstLine="0"/>
        <w:jc w:val="left"/>
        <w:rPr>
          <w:rFonts w:ascii="Arial"/>
          <w:b/>
          <w:sz w:val="18"/>
        </w:rPr>
      </w:pPr>
      <w:r>
        <w:rPr>
          <w:rFonts w:ascii="Arial"/>
          <w:b/>
          <w:color w:val="231F20"/>
          <w:sz w:val="18"/>
        </w:rPr>
        <w:t>Late Registration</w:t>
      </w:r>
    </w:p>
    <w:p>
      <w:pPr>
        <w:spacing w:before="91"/>
        <w:ind w:left="540" w:right="0" w:firstLine="0"/>
        <w:jc w:val="left"/>
        <w:rPr>
          <w:rFonts w:ascii="Arial" w:hAnsi="Arial"/>
          <w:sz w:val="18"/>
        </w:rPr>
      </w:pPr>
      <w:r>
        <w:rPr>
          <w:rFonts w:ascii="Arial" w:hAnsi="Arial"/>
          <w:color w:val="231F20"/>
          <w:sz w:val="18"/>
        </w:rPr>
        <w:t>8:10 a.m. – 8:20 a.m.</w:t>
      </w:r>
    </w:p>
    <w:p>
      <w:pPr>
        <w:spacing w:before="11"/>
        <w:ind w:left="540" w:right="0" w:firstLine="0"/>
        <w:jc w:val="left"/>
        <w:rPr>
          <w:rFonts w:ascii="Arial"/>
          <w:b/>
          <w:sz w:val="18"/>
        </w:rPr>
      </w:pPr>
      <w:r>
        <w:rPr>
          <w:rFonts w:ascii="Arial"/>
          <w:b/>
          <w:color w:val="231F20"/>
          <w:sz w:val="18"/>
        </w:rPr>
        <w:t>Opening Remarks</w:t>
      </w:r>
    </w:p>
    <w:p>
      <w:pPr>
        <w:spacing w:line="252" w:lineRule="auto" w:before="11"/>
        <w:ind w:left="540" w:right="0" w:firstLine="0"/>
        <w:jc w:val="left"/>
        <w:rPr>
          <w:rFonts w:ascii="Arial" w:hAnsi="Arial"/>
          <w:i/>
          <w:sz w:val="18"/>
        </w:rPr>
      </w:pPr>
      <w:r>
        <w:rPr>
          <w:rFonts w:ascii="Arial" w:hAnsi="Arial"/>
          <w:i/>
          <w:color w:val="231F20"/>
          <w:sz w:val="18"/>
        </w:rPr>
        <w:t>Marlene Quintana, Program Co-Chair, GrayRobinson, P.A., Miami </w:t>
      </w:r>
      <w:r>
        <w:rPr>
          <w:rFonts w:ascii="Arial" w:hAnsi="Arial"/>
          <w:i/>
          <w:color w:val="231F20"/>
          <w:sz w:val="18"/>
        </w:rPr>
        <w:t>Luis A. “Tony” Cabassa, Program Co-Chair, Wenzel Fenton</w:t>
      </w:r>
    </w:p>
    <w:p>
      <w:pPr>
        <w:spacing w:before="1"/>
        <w:ind w:left="720" w:right="0" w:firstLine="0"/>
        <w:jc w:val="left"/>
        <w:rPr>
          <w:rFonts w:ascii="Arial"/>
          <w:i/>
          <w:sz w:val="18"/>
        </w:rPr>
      </w:pPr>
      <w:r>
        <w:rPr>
          <w:rFonts w:ascii="Arial"/>
          <w:i/>
          <w:color w:val="231F20"/>
          <w:sz w:val="18"/>
        </w:rPr>
        <w:t>Cabassa, P.A., Tampa</w:t>
      </w:r>
    </w:p>
    <w:p>
      <w:pPr>
        <w:spacing w:before="91"/>
        <w:ind w:left="540" w:right="0" w:firstLine="0"/>
        <w:jc w:val="left"/>
        <w:rPr>
          <w:rFonts w:ascii="Arial" w:hAnsi="Arial"/>
          <w:sz w:val="18"/>
        </w:rPr>
      </w:pPr>
      <w:r>
        <w:rPr>
          <w:rFonts w:ascii="Arial" w:hAnsi="Arial"/>
          <w:color w:val="231F20"/>
          <w:sz w:val="18"/>
        </w:rPr>
        <w:t>8:20 a.m. – 8:50 a.m.</w:t>
      </w:r>
    </w:p>
    <w:p>
      <w:pPr>
        <w:spacing w:before="11"/>
        <w:ind w:left="540" w:right="0" w:firstLine="0"/>
        <w:jc w:val="left"/>
        <w:rPr>
          <w:rFonts w:ascii="Arial"/>
          <w:b/>
          <w:sz w:val="18"/>
        </w:rPr>
      </w:pPr>
      <w:r>
        <w:rPr>
          <w:rFonts w:ascii="Arial"/>
          <w:b/>
          <w:color w:val="231F20"/>
          <w:sz w:val="18"/>
        </w:rPr>
        <w:t>ERISA</w:t>
      </w:r>
    </w:p>
    <w:p>
      <w:pPr>
        <w:spacing w:before="11"/>
        <w:ind w:left="540" w:right="0" w:firstLine="0"/>
        <w:jc w:val="left"/>
        <w:rPr>
          <w:rFonts w:ascii="Arial"/>
          <w:i/>
          <w:sz w:val="18"/>
        </w:rPr>
      </w:pPr>
      <w:r>
        <w:rPr>
          <w:rFonts w:ascii="Arial"/>
          <w:i/>
          <w:color w:val="231F20"/>
          <w:sz w:val="18"/>
        </w:rPr>
        <w:t>Sherril Colombo, Littler Mendelson, P.C., Miami</w:t>
      </w:r>
    </w:p>
    <w:p>
      <w:pPr>
        <w:spacing w:before="91"/>
        <w:ind w:left="540" w:right="0" w:firstLine="0"/>
        <w:jc w:val="left"/>
        <w:rPr>
          <w:rFonts w:ascii="Arial" w:hAnsi="Arial"/>
          <w:sz w:val="18"/>
        </w:rPr>
      </w:pPr>
      <w:r>
        <w:rPr>
          <w:rFonts w:ascii="Arial" w:hAnsi="Arial"/>
          <w:color w:val="231F20"/>
          <w:sz w:val="18"/>
        </w:rPr>
        <w:t>8:50 a.m. – 9:30 a.m.</w:t>
      </w:r>
    </w:p>
    <w:p>
      <w:pPr>
        <w:spacing w:before="11"/>
        <w:ind w:left="540" w:right="0" w:firstLine="0"/>
        <w:jc w:val="left"/>
        <w:rPr>
          <w:rFonts w:ascii="Arial" w:hAnsi="Arial"/>
          <w:b/>
          <w:sz w:val="18"/>
        </w:rPr>
      </w:pPr>
      <w:r>
        <w:rPr>
          <w:rFonts w:ascii="Arial" w:hAnsi="Arial"/>
          <w:b/>
          <w:color w:val="231F20"/>
          <w:sz w:val="18"/>
        </w:rPr>
        <w:t>Whistleblower Statutes/Workers’ Compensation Retaliation</w:t>
      </w:r>
    </w:p>
    <w:p>
      <w:pPr>
        <w:spacing w:before="11"/>
        <w:ind w:left="540" w:right="0" w:firstLine="0"/>
        <w:jc w:val="left"/>
        <w:rPr>
          <w:rFonts w:ascii="Arial"/>
          <w:i/>
          <w:sz w:val="18"/>
        </w:rPr>
      </w:pPr>
      <w:r>
        <w:rPr>
          <w:rFonts w:ascii="Arial"/>
          <w:i/>
          <w:color w:val="231F20"/>
          <w:sz w:val="18"/>
        </w:rPr>
        <w:t>Karen Buesing, Akerman LLP, Tampa</w:t>
      </w:r>
    </w:p>
    <w:p>
      <w:pPr>
        <w:spacing w:before="91"/>
        <w:ind w:left="540" w:right="0" w:firstLine="0"/>
        <w:jc w:val="left"/>
        <w:rPr>
          <w:rFonts w:ascii="Arial" w:hAnsi="Arial"/>
          <w:b/>
          <w:sz w:val="18"/>
        </w:rPr>
      </w:pPr>
      <w:r>
        <w:rPr>
          <w:rFonts w:ascii="Arial" w:hAnsi="Arial"/>
          <w:color w:val="231F20"/>
          <w:sz w:val="18"/>
        </w:rPr>
        <w:t>9:30 a.m. – 9:40 a.m. </w:t>
      </w:r>
      <w:r>
        <w:rPr>
          <w:rFonts w:ascii="Arial" w:hAnsi="Arial"/>
          <w:b/>
          <w:color w:val="231F20"/>
          <w:sz w:val="18"/>
        </w:rPr>
        <w:t>Break</w:t>
      </w:r>
    </w:p>
    <w:p>
      <w:pPr>
        <w:spacing w:before="91"/>
        <w:ind w:left="540" w:right="0" w:firstLine="0"/>
        <w:jc w:val="left"/>
        <w:rPr>
          <w:rFonts w:ascii="Arial" w:hAnsi="Arial"/>
          <w:sz w:val="18"/>
        </w:rPr>
      </w:pPr>
      <w:r>
        <w:rPr>
          <w:rFonts w:ascii="Arial" w:hAnsi="Arial"/>
          <w:color w:val="231F20"/>
          <w:sz w:val="18"/>
        </w:rPr>
        <w:t>9:40 a.m. – 10:50 a.m.</w:t>
      </w:r>
    </w:p>
    <w:p>
      <w:pPr>
        <w:spacing w:before="11"/>
        <w:ind w:left="540" w:right="0" w:firstLine="0"/>
        <w:jc w:val="left"/>
        <w:rPr>
          <w:rFonts w:ascii="Arial"/>
          <w:b/>
          <w:sz w:val="18"/>
        </w:rPr>
      </w:pPr>
      <w:r>
        <w:rPr>
          <w:rFonts w:ascii="Arial"/>
          <w:b/>
          <w:color w:val="231F20"/>
          <w:sz w:val="18"/>
        </w:rPr>
        <w:t>Family and Medical Leave Act</w:t>
      </w:r>
    </w:p>
    <w:p>
      <w:pPr>
        <w:spacing w:line="252" w:lineRule="auto" w:before="11"/>
        <w:ind w:left="720" w:right="9" w:hanging="180"/>
        <w:jc w:val="left"/>
        <w:rPr>
          <w:rFonts w:ascii="Arial"/>
          <w:i/>
          <w:sz w:val="18"/>
        </w:rPr>
      </w:pPr>
      <w:r>
        <w:rPr>
          <w:rFonts w:ascii="Arial"/>
          <w:i/>
          <w:color w:val="231F20"/>
          <w:sz w:val="18"/>
        </w:rPr>
        <w:t>Jennifer Fowler-Hermes, Williams Parker Harrison Dietz &amp; Getzen, </w:t>
      </w:r>
      <w:r>
        <w:rPr>
          <w:rFonts w:ascii="Arial"/>
          <w:i/>
          <w:color w:val="231F20"/>
          <w:sz w:val="18"/>
        </w:rPr>
        <w:t>Sarasota</w:t>
      </w:r>
    </w:p>
    <w:p>
      <w:pPr>
        <w:spacing w:before="82"/>
        <w:ind w:left="540" w:right="0" w:firstLine="0"/>
        <w:jc w:val="left"/>
        <w:rPr>
          <w:rFonts w:ascii="Arial" w:hAnsi="Arial"/>
          <w:sz w:val="18"/>
        </w:rPr>
      </w:pPr>
      <w:r>
        <w:rPr>
          <w:rFonts w:ascii="Arial" w:hAnsi="Arial"/>
          <w:color w:val="231F20"/>
          <w:sz w:val="18"/>
        </w:rPr>
        <w:t>10:50 a.m. – 11:40 p.m.</w:t>
      </w:r>
    </w:p>
    <w:p>
      <w:pPr>
        <w:spacing w:before="11"/>
        <w:ind w:left="540" w:right="0" w:firstLine="0"/>
        <w:jc w:val="left"/>
        <w:rPr>
          <w:rFonts w:ascii="Arial"/>
          <w:b/>
          <w:sz w:val="18"/>
        </w:rPr>
      </w:pPr>
      <w:r>
        <w:rPr>
          <w:rFonts w:ascii="Arial"/>
          <w:b/>
          <w:color w:val="231F20"/>
          <w:sz w:val="18"/>
        </w:rPr>
        <w:t>Common Law Employment Claims</w:t>
      </w:r>
    </w:p>
    <w:p>
      <w:pPr>
        <w:spacing w:before="11"/>
        <w:ind w:left="540" w:right="0" w:firstLine="0"/>
        <w:jc w:val="left"/>
        <w:rPr>
          <w:rFonts w:ascii="Arial"/>
          <w:i/>
          <w:sz w:val="18"/>
        </w:rPr>
      </w:pPr>
      <w:r>
        <w:rPr>
          <w:rFonts w:ascii="Arial"/>
          <w:i/>
          <w:color w:val="231F20"/>
          <w:sz w:val="18"/>
        </w:rPr>
        <w:t>Brian Lerner, Kim Vaughan Lerner, LLP, Fort Lauderdale</w:t>
      </w:r>
    </w:p>
    <w:p>
      <w:pPr>
        <w:spacing w:before="111"/>
        <w:ind w:left="540" w:right="0" w:firstLine="0"/>
        <w:jc w:val="left"/>
        <w:rPr>
          <w:rFonts w:ascii="Arial" w:hAnsi="Arial"/>
          <w:sz w:val="18"/>
        </w:rPr>
      </w:pPr>
      <w:r>
        <w:rPr>
          <w:rFonts w:ascii="Arial" w:hAnsi="Arial"/>
          <w:color w:val="231F20"/>
          <w:sz w:val="18"/>
        </w:rPr>
        <w:t>11:40 p.m. – 12:40 p.m.</w:t>
      </w:r>
    </w:p>
    <w:p>
      <w:pPr>
        <w:spacing w:before="11"/>
        <w:ind w:left="540" w:right="0" w:firstLine="0"/>
        <w:jc w:val="left"/>
        <w:rPr>
          <w:rFonts w:ascii="Arial"/>
          <w:b/>
          <w:sz w:val="18"/>
        </w:rPr>
      </w:pPr>
      <w:r>
        <w:rPr>
          <w:rFonts w:ascii="Arial"/>
          <w:b/>
          <w:color w:val="231F20"/>
          <w:sz w:val="18"/>
        </w:rPr>
        <w:t>Lunch (included in registration fee)</w:t>
      </w:r>
    </w:p>
    <w:p>
      <w:pPr>
        <w:spacing w:before="111"/>
        <w:ind w:left="540" w:right="0" w:firstLine="0"/>
        <w:jc w:val="left"/>
        <w:rPr>
          <w:rFonts w:ascii="Arial" w:hAnsi="Arial"/>
          <w:sz w:val="18"/>
        </w:rPr>
      </w:pPr>
      <w:r>
        <w:rPr>
          <w:rFonts w:ascii="Arial" w:hAnsi="Arial"/>
          <w:color w:val="231F20"/>
          <w:sz w:val="18"/>
        </w:rPr>
        <w:t>12:40 p.m. – 1:10 p.m.</w:t>
      </w:r>
    </w:p>
    <w:p>
      <w:pPr>
        <w:spacing w:before="11"/>
        <w:ind w:left="540" w:right="0" w:firstLine="0"/>
        <w:jc w:val="left"/>
        <w:rPr>
          <w:rFonts w:ascii="Arial"/>
          <w:b/>
          <w:sz w:val="18"/>
        </w:rPr>
      </w:pPr>
      <w:r>
        <w:rPr>
          <w:rFonts w:ascii="Arial"/>
          <w:b/>
          <w:color w:val="231F20"/>
          <w:sz w:val="18"/>
        </w:rPr>
        <w:t>USERRA</w:t>
      </w:r>
    </w:p>
    <w:p>
      <w:pPr>
        <w:spacing w:before="11"/>
        <w:ind w:left="540" w:right="0" w:firstLine="0"/>
        <w:jc w:val="left"/>
        <w:rPr>
          <w:rFonts w:ascii="Arial"/>
          <w:i/>
          <w:sz w:val="18"/>
        </w:rPr>
      </w:pPr>
      <w:r>
        <w:rPr>
          <w:rFonts w:ascii="Arial"/>
          <w:i/>
          <w:color w:val="231F20"/>
          <w:sz w:val="18"/>
        </w:rPr>
        <w:t>Kathryn S. Piscitelli, Orlando</w:t>
      </w:r>
    </w:p>
    <w:p>
      <w:pPr>
        <w:spacing w:before="91"/>
        <w:ind w:left="540" w:right="0" w:firstLine="0"/>
        <w:jc w:val="left"/>
        <w:rPr>
          <w:rFonts w:ascii="Arial" w:hAnsi="Arial"/>
          <w:sz w:val="18"/>
        </w:rPr>
      </w:pPr>
      <w:r>
        <w:rPr>
          <w:rFonts w:ascii="Arial" w:hAnsi="Arial"/>
          <w:color w:val="231F20"/>
          <w:sz w:val="18"/>
        </w:rPr>
        <w:t>1:10 p.m. – 1:35 p.m.</w:t>
      </w:r>
    </w:p>
    <w:p>
      <w:pPr>
        <w:spacing w:before="11"/>
        <w:ind w:left="540" w:right="0" w:firstLine="0"/>
        <w:jc w:val="left"/>
        <w:rPr>
          <w:rFonts w:ascii="Arial"/>
          <w:b/>
          <w:sz w:val="18"/>
        </w:rPr>
      </w:pPr>
      <w:r>
        <w:rPr>
          <w:rFonts w:ascii="Arial"/>
          <w:b/>
          <w:color w:val="231F20"/>
          <w:sz w:val="18"/>
        </w:rPr>
        <w:t>Unemployment Appeals</w:t>
      </w:r>
    </w:p>
    <w:p>
      <w:pPr>
        <w:spacing w:line="252" w:lineRule="auto" w:before="11"/>
        <w:ind w:left="720" w:right="0" w:hanging="180"/>
        <w:jc w:val="left"/>
        <w:rPr>
          <w:rFonts w:ascii="Arial"/>
          <w:i/>
          <w:sz w:val="18"/>
        </w:rPr>
      </w:pPr>
      <w:r>
        <w:rPr>
          <w:rFonts w:ascii="Arial"/>
          <w:i/>
          <w:color w:val="231F20"/>
          <w:sz w:val="18"/>
        </w:rPr>
        <w:t>Amanda L. Neff, Florida Reemployment Assistance Appeals </w:t>
      </w:r>
      <w:r>
        <w:rPr>
          <w:rFonts w:ascii="Arial"/>
          <w:i/>
          <w:color w:val="231F20"/>
          <w:sz w:val="18"/>
        </w:rPr>
        <w:t>Commission, Tallahassee</w:t>
      </w:r>
    </w:p>
    <w:p>
      <w:pPr>
        <w:spacing w:before="81"/>
        <w:ind w:left="540" w:right="0" w:firstLine="0"/>
        <w:jc w:val="left"/>
        <w:rPr>
          <w:rFonts w:ascii="Arial" w:hAnsi="Arial"/>
          <w:sz w:val="18"/>
        </w:rPr>
      </w:pPr>
      <w:r>
        <w:rPr>
          <w:rFonts w:ascii="Arial" w:hAnsi="Arial"/>
          <w:color w:val="231F20"/>
          <w:sz w:val="18"/>
        </w:rPr>
        <w:t>1:35 p.m. – 2:40 p.m.</w:t>
      </w:r>
    </w:p>
    <w:p>
      <w:pPr>
        <w:spacing w:before="11"/>
        <w:ind w:left="540" w:right="0" w:firstLine="0"/>
        <w:jc w:val="left"/>
        <w:rPr>
          <w:rFonts w:ascii="Arial"/>
          <w:b/>
          <w:sz w:val="18"/>
        </w:rPr>
      </w:pPr>
      <w:r>
        <w:rPr>
          <w:rFonts w:ascii="Arial"/>
          <w:b/>
          <w:color w:val="231F20"/>
          <w:sz w:val="18"/>
        </w:rPr>
        <w:t>Public Employee Relations Act</w:t>
      </w:r>
    </w:p>
    <w:p>
      <w:pPr>
        <w:spacing w:before="11"/>
        <w:ind w:left="540" w:right="0" w:firstLine="0"/>
        <w:jc w:val="left"/>
        <w:rPr>
          <w:rFonts w:ascii="Arial"/>
          <w:i/>
          <w:sz w:val="18"/>
        </w:rPr>
      </w:pPr>
      <w:r>
        <w:rPr>
          <w:rFonts w:ascii="Arial"/>
          <w:i/>
          <w:color w:val="231F20"/>
          <w:sz w:val="18"/>
        </w:rPr>
        <w:t>Stephanie M. Marchman, GrayRobinson, P.A., Gainesville</w:t>
      </w:r>
    </w:p>
    <w:p>
      <w:pPr>
        <w:spacing w:before="91"/>
        <w:ind w:left="540" w:right="0" w:firstLine="0"/>
        <w:jc w:val="left"/>
        <w:rPr>
          <w:rFonts w:ascii="Arial" w:hAnsi="Arial"/>
          <w:b/>
          <w:sz w:val="18"/>
        </w:rPr>
      </w:pPr>
      <w:r>
        <w:rPr>
          <w:rFonts w:ascii="Arial" w:hAnsi="Arial"/>
          <w:color w:val="231F20"/>
          <w:sz w:val="18"/>
        </w:rPr>
        <w:t>2:40 p.m. – 2:50 p.m. </w:t>
      </w:r>
      <w:r>
        <w:rPr>
          <w:rFonts w:ascii="Arial" w:hAnsi="Arial"/>
          <w:b/>
          <w:color w:val="231F20"/>
          <w:sz w:val="18"/>
        </w:rPr>
        <w:t>Break</w:t>
      </w:r>
    </w:p>
    <w:p>
      <w:pPr>
        <w:spacing w:before="91"/>
        <w:ind w:left="540" w:right="0" w:firstLine="0"/>
        <w:jc w:val="left"/>
        <w:rPr>
          <w:rFonts w:ascii="Arial" w:hAnsi="Arial"/>
          <w:sz w:val="18"/>
        </w:rPr>
      </w:pPr>
      <w:r>
        <w:rPr>
          <w:rFonts w:ascii="Arial" w:hAnsi="Arial"/>
          <w:color w:val="231F20"/>
          <w:sz w:val="18"/>
        </w:rPr>
        <w:t>2:50 p.m. – 3:40 p.m.</w:t>
      </w:r>
    </w:p>
    <w:p>
      <w:pPr>
        <w:spacing w:before="11"/>
        <w:ind w:left="540" w:right="0" w:firstLine="0"/>
        <w:jc w:val="left"/>
        <w:rPr>
          <w:rFonts w:ascii="Arial"/>
          <w:b/>
          <w:sz w:val="18"/>
        </w:rPr>
      </w:pPr>
      <w:r>
        <w:rPr>
          <w:rFonts w:ascii="Arial"/>
          <w:b/>
          <w:color w:val="231F20"/>
          <w:sz w:val="18"/>
        </w:rPr>
        <w:t>Fair Labor Standards Act</w:t>
      </w:r>
    </w:p>
    <w:p>
      <w:pPr>
        <w:spacing w:before="11"/>
        <w:ind w:left="540" w:right="0" w:firstLine="0"/>
        <w:jc w:val="left"/>
        <w:rPr>
          <w:rFonts w:ascii="Arial"/>
          <w:i/>
          <w:sz w:val="18"/>
        </w:rPr>
      </w:pPr>
      <w:r>
        <w:rPr>
          <w:rFonts w:ascii="Arial"/>
          <w:i/>
          <w:color w:val="231F20"/>
          <w:sz w:val="18"/>
        </w:rPr>
        <w:t>Daniel R. Levine, Padula Bennardo Levine LLP, Boca Raton</w:t>
      </w:r>
    </w:p>
    <w:p>
      <w:pPr>
        <w:spacing w:before="92"/>
        <w:ind w:left="540" w:right="0" w:firstLine="0"/>
        <w:jc w:val="left"/>
        <w:rPr>
          <w:rFonts w:ascii="Arial" w:hAnsi="Arial"/>
          <w:sz w:val="18"/>
        </w:rPr>
      </w:pPr>
      <w:r>
        <w:rPr>
          <w:rFonts w:ascii="Arial" w:hAnsi="Arial"/>
          <w:color w:val="231F20"/>
          <w:sz w:val="18"/>
        </w:rPr>
        <w:t>3:40 p.m. – 4:15 p.m.</w:t>
      </w:r>
    </w:p>
    <w:p>
      <w:pPr>
        <w:spacing w:before="11"/>
        <w:ind w:left="540" w:right="0" w:firstLine="0"/>
        <w:jc w:val="left"/>
        <w:rPr>
          <w:rFonts w:ascii="Arial"/>
          <w:b/>
          <w:sz w:val="18"/>
        </w:rPr>
      </w:pPr>
      <w:r>
        <w:rPr>
          <w:rFonts w:ascii="Arial"/>
          <w:b/>
          <w:color w:val="231F20"/>
          <w:sz w:val="18"/>
        </w:rPr>
        <w:t>ACA</w:t>
      </w:r>
    </w:p>
    <w:p>
      <w:pPr>
        <w:spacing w:before="11"/>
        <w:ind w:left="540" w:right="0" w:firstLine="0"/>
        <w:jc w:val="left"/>
        <w:rPr>
          <w:rFonts w:ascii="Arial"/>
          <w:i/>
          <w:sz w:val="18"/>
        </w:rPr>
      </w:pPr>
      <w:r>
        <w:rPr>
          <w:rFonts w:ascii="Arial"/>
          <w:i/>
          <w:color w:val="231F20"/>
          <w:sz w:val="18"/>
        </w:rPr>
        <w:t>Cathleen Scott, Scott, Wagner &amp; Associates, P.A., Jupiter</w:t>
      </w:r>
    </w:p>
    <w:p>
      <w:pPr>
        <w:spacing w:before="91"/>
        <w:ind w:left="540" w:right="0" w:firstLine="0"/>
        <w:jc w:val="left"/>
        <w:rPr>
          <w:rFonts w:ascii="Arial" w:hAnsi="Arial"/>
          <w:sz w:val="18"/>
        </w:rPr>
      </w:pPr>
      <w:r>
        <w:rPr>
          <w:rFonts w:ascii="Arial" w:hAnsi="Arial"/>
          <w:color w:val="231F20"/>
          <w:sz w:val="18"/>
        </w:rPr>
        <w:t>4:15 p.m. – 4:45 p.m.</w:t>
      </w:r>
    </w:p>
    <w:p>
      <w:pPr>
        <w:spacing w:before="11"/>
        <w:ind w:left="540" w:right="0" w:firstLine="0"/>
        <w:jc w:val="left"/>
        <w:rPr>
          <w:rFonts w:ascii="Arial"/>
          <w:b/>
          <w:sz w:val="18"/>
        </w:rPr>
      </w:pPr>
      <w:r>
        <w:rPr>
          <w:rFonts w:ascii="Arial"/>
          <w:b/>
          <w:color w:val="231F20"/>
          <w:sz w:val="18"/>
        </w:rPr>
        <w:t>Drug Testing</w:t>
      </w:r>
    </w:p>
    <w:p>
      <w:pPr>
        <w:spacing w:before="12"/>
        <w:ind w:left="540" w:right="0" w:firstLine="0"/>
        <w:jc w:val="left"/>
        <w:rPr>
          <w:rFonts w:ascii="Arial"/>
          <w:i/>
          <w:sz w:val="17"/>
        </w:rPr>
      </w:pPr>
      <w:r>
        <w:rPr>
          <w:rFonts w:ascii="Arial"/>
          <w:i/>
          <w:color w:val="231F20"/>
          <w:sz w:val="17"/>
        </w:rPr>
        <w:t>Nathan</w:t>
      </w:r>
      <w:r>
        <w:rPr>
          <w:rFonts w:ascii="Arial"/>
          <w:i/>
          <w:color w:val="231F20"/>
          <w:spacing w:val="-23"/>
          <w:sz w:val="17"/>
        </w:rPr>
        <w:t> </w:t>
      </w:r>
      <w:r>
        <w:rPr>
          <w:rFonts w:ascii="Arial"/>
          <w:i/>
          <w:color w:val="231F20"/>
          <w:sz w:val="17"/>
        </w:rPr>
        <w:t>J.</w:t>
      </w:r>
      <w:r>
        <w:rPr>
          <w:rFonts w:ascii="Arial"/>
          <w:i/>
          <w:color w:val="231F20"/>
          <w:spacing w:val="-23"/>
          <w:sz w:val="17"/>
        </w:rPr>
        <w:t> </w:t>
      </w:r>
      <w:r>
        <w:rPr>
          <w:rFonts w:ascii="Arial"/>
          <w:i/>
          <w:color w:val="231F20"/>
          <w:sz w:val="17"/>
        </w:rPr>
        <w:t>Paulich,</w:t>
      </w:r>
      <w:r>
        <w:rPr>
          <w:rFonts w:ascii="Arial"/>
          <w:i/>
          <w:color w:val="231F20"/>
          <w:spacing w:val="-25"/>
          <w:sz w:val="17"/>
        </w:rPr>
        <w:t> </w:t>
      </w:r>
      <w:r>
        <w:rPr>
          <w:rFonts w:ascii="Arial"/>
          <w:i/>
          <w:color w:val="231F20"/>
          <w:sz w:val="17"/>
        </w:rPr>
        <w:t>Thompson</w:t>
      </w:r>
      <w:r>
        <w:rPr>
          <w:rFonts w:ascii="Arial"/>
          <w:i/>
          <w:color w:val="231F20"/>
          <w:spacing w:val="-22"/>
          <w:sz w:val="17"/>
        </w:rPr>
        <w:t> </w:t>
      </w:r>
      <w:r>
        <w:rPr>
          <w:rFonts w:ascii="Arial"/>
          <w:i/>
          <w:color w:val="231F20"/>
          <w:sz w:val="17"/>
        </w:rPr>
        <w:t>Sizemore</w:t>
      </w:r>
      <w:r>
        <w:rPr>
          <w:rFonts w:ascii="Arial"/>
          <w:i/>
          <w:color w:val="231F20"/>
          <w:spacing w:val="-23"/>
          <w:sz w:val="17"/>
        </w:rPr>
        <w:t> </w:t>
      </w:r>
      <w:r>
        <w:rPr>
          <w:rFonts w:ascii="Arial"/>
          <w:i/>
          <w:color w:val="231F20"/>
          <w:sz w:val="17"/>
        </w:rPr>
        <w:t>Gonzalez</w:t>
      </w:r>
      <w:r>
        <w:rPr>
          <w:rFonts w:ascii="Arial"/>
          <w:i/>
          <w:color w:val="231F20"/>
          <w:spacing w:val="-23"/>
          <w:sz w:val="17"/>
        </w:rPr>
        <w:t> </w:t>
      </w:r>
      <w:r>
        <w:rPr>
          <w:rFonts w:ascii="Arial"/>
          <w:i/>
          <w:color w:val="231F20"/>
          <w:sz w:val="17"/>
        </w:rPr>
        <w:t>&amp;</w:t>
      </w:r>
      <w:r>
        <w:rPr>
          <w:rFonts w:ascii="Arial"/>
          <w:i/>
          <w:color w:val="231F20"/>
          <w:spacing w:val="-23"/>
          <w:sz w:val="17"/>
        </w:rPr>
        <w:t> </w:t>
      </w:r>
      <w:r>
        <w:rPr>
          <w:rFonts w:ascii="Arial"/>
          <w:i/>
          <w:color w:val="231F20"/>
          <w:sz w:val="17"/>
        </w:rPr>
        <w:t>Hearing,</w:t>
      </w:r>
      <w:r>
        <w:rPr>
          <w:rFonts w:ascii="Arial"/>
          <w:i/>
          <w:color w:val="231F20"/>
          <w:spacing w:val="-23"/>
          <w:sz w:val="17"/>
        </w:rPr>
        <w:t> </w:t>
      </w:r>
      <w:r>
        <w:rPr>
          <w:rFonts w:ascii="Arial"/>
          <w:i/>
          <w:color w:val="231F20"/>
          <w:spacing w:val="-5"/>
          <w:sz w:val="17"/>
        </w:rPr>
        <w:t>P.A.,</w:t>
      </w:r>
      <w:r>
        <w:rPr>
          <w:rFonts w:ascii="Arial"/>
          <w:i/>
          <w:color w:val="231F20"/>
          <w:spacing w:val="-24"/>
          <w:sz w:val="17"/>
        </w:rPr>
        <w:t> </w:t>
      </w:r>
      <w:r>
        <w:rPr>
          <w:rFonts w:ascii="Arial"/>
          <w:i/>
          <w:color w:val="231F20"/>
          <w:spacing w:val="-8"/>
          <w:sz w:val="17"/>
        </w:rPr>
        <w:t>Tampa</w:t>
      </w:r>
    </w:p>
    <w:p>
      <w:pPr>
        <w:spacing w:before="65"/>
        <w:ind w:left="319" w:right="0" w:firstLine="0"/>
        <w:jc w:val="left"/>
        <w:rPr>
          <w:rFonts w:ascii="Arial"/>
          <w:b/>
          <w:sz w:val="24"/>
        </w:rPr>
      </w:pPr>
      <w:r>
        <w:rPr/>
        <w:br w:type="column"/>
      </w:r>
      <w:r>
        <w:rPr>
          <w:rFonts w:ascii="Arial"/>
          <w:b/>
          <w:color w:val="231F20"/>
          <w:sz w:val="24"/>
          <w:u w:val="single" w:color="231F20"/>
        </w:rPr>
        <w:t>FRIDAY, JANUARY 18, 2019</w:t>
      </w:r>
    </w:p>
    <w:p>
      <w:pPr>
        <w:spacing w:before="102"/>
        <w:ind w:left="319" w:right="0" w:firstLine="0"/>
        <w:jc w:val="left"/>
        <w:rPr>
          <w:rFonts w:ascii="Arial" w:hAnsi="Arial"/>
          <w:sz w:val="18"/>
        </w:rPr>
      </w:pPr>
      <w:r>
        <w:rPr/>
        <w:pict>
          <v:line style="position:absolute;mso-position-horizontal-relative:page;mso-position-vertical-relative:paragraph;z-index:251679744" from="302pt,-11.821533pt" to="302pt,533.620467pt" stroked="true" strokeweight="1pt" strokecolor="#231f20">
            <v:stroke dashstyle="solid"/>
            <w10:wrap type="none"/>
          </v:line>
        </w:pict>
      </w:r>
      <w:r>
        <w:rPr>
          <w:rFonts w:ascii="Arial" w:hAnsi="Arial"/>
          <w:color w:val="231F20"/>
          <w:sz w:val="18"/>
        </w:rPr>
        <w:t>8:00 a.m. – 8:05 a.m.</w:t>
      </w:r>
    </w:p>
    <w:p>
      <w:pPr>
        <w:spacing w:before="15"/>
        <w:ind w:left="319" w:right="0" w:firstLine="0"/>
        <w:jc w:val="left"/>
        <w:rPr>
          <w:rFonts w:ascii="Arial"/>
          <w:b/>
          <w:sz w:val="18"/>
        </w:rPr>
      </w:pPr>
      <w:r>
        <w:rPr>
          <w:rFonts w:ascii="Arial"/>
          <w:b/>
          <w:color w:val="231F20"/>
          <w:sz w:val="18"/>
        </w:rPr>
        <w:t>Opening Remarks</w:t>
      </w:r>
    </w:p>
    <w:p>
      <w:pPr>
        <w:spacing w:line="256" w:lineRule="auto" w:before="15"/>
        <w:ind w:left="319" w:right="561" w:firstLine="0"/>
        <w:jc w:val="left"/>
        <w:rPr>
          <w:rFonts w:ascii="Arial" w:hAnsi="Arial"/>
          <w:i/>
          <w:sz w:val="18"/>
        </w:rPr>
      </w:pPr>
      <w:r>
        <w:rPr>
          <w:rFonts w:ascii="Arial" w:hAnsi="Arial"/>
          <w:i/>
          <w:color w:val="231F20"/>
          <w:sz w:val="18"/>
        </w:rPr>
        <w:t>Marlene Quintana, Program Co-Chair, GrayRobinson, P.A., Miami </w:t>
      </w:r>
      <w:r>
        <w:rPr>
          <w:rFonts w:ascii="Arial" w:hAnsi="Arial"/>
          <w:i/>
          <w:color w:val="231F20"/>
          <w:sz w:val="18"/>
        </w:rPr>
        <w:t>Luis A. “Tony” Cabassa, Program Co-Chair, Wenzel Fenton</w:t>
      </w:r>
    </w:p>
    <w:p>
      <w:pPr>
        <w:spacing w:before="1"/>
        <w:ind w:left="499" w:right="0" w:firstLine="0"/>
        <w:jc w:val="left"/>
        <w:rPr>
          <w:rFonts w:ascii="Arial"/>
          <w:i/>
          <w:sz w:val="18"/>
        </w:rPr>
      </w:pPr>
      <w:r>
        <w:rPr>
          <w:rFonts w:ascii="Arial"/>
          <w:i/>
          <w:color w:val="231F20"/>
          <w:sz w:val="18"/>
        </w:rPr>
        <w:t>Cabassa, P.A., Tampa</w:t>
      </w:r>
    </w:p>
    <w:p>
      <w:pPr>
        <w:spacing w:before="95"/>
        <w:ind w:left="319" w:right="0" w:firstLine="0"/>
        <w:jc w:val="left"/>
        <w:rPr>
          <w:rFonts w:ascii="Arial" w:hAnsi="Arial"/>
          <w:sz w:val="18"/>
        </w:rPr>
      </w:pPr>
      <w:r>
        <w:rPr>
          <w:rFonts w:ascii="Arial" w:hAnsi="Arial"/>
          <w:color w:val="231F20"/>
          <w:sz w:val="18"/>
        </w:rPr>
        <w:t>8:05 a.m. – 8:30 a.m.</w:t>
      </w:r>
    </w:p>
    <w:p>
      <w:pPr>
        <w:spacing w:before="15"/>
        <w:ind w:left="319" w:right="0" w:firstLine="0"/>
        <w:jc w:val="left"/>
        <w:rPr>
          <w:rFonts w:ascii="Arial"/>
          <w:b/>
          <w:sz w:val="18"/>
        </w:rPr>
      </w:pPr>
      <w:r>
        <w:rPr>
          <w:rFonts w:ascii="Arial"/>
          <w:b/>
          <w:color w:val="231F20"/>
          <w:sz w:val="18"/>
        </w:rPr>
        <w:t>Constitutional Employment Claims</w:t>
      </w:r>
    </w:p>
    <w:p>
      <w:pPr>
        <w:spacing w:before="15"/>
        <w:ind w:left="319" w:right="0" w:firstLine="0"/>
        <w:jc w:val="left"/>
        <w:rPr>
          <w:rFonts w:ascii="Arial" w:hAnsi="Arial"/>
          <w:i/>
          <w:sz w:val="18"/>
        </w:rPr>
      </w:pPr>
      <w:r>
        <w:rPr>
          <w:rFonts w:ascii="Arial" w:hAnsi="Arial"/>
          <w:i/>
          <w:color w:val="231F20"/>
          <w:sz w:val="18"/>
        </w:rPr>
        <w:t>Jennifer T. Williams, Cozen O’Connor, Miami</w:t>
      </w:r>
    </w:p>
    <w:p>
      <w:pPr>
        <w:spacing w:before="95"/>
        <w:ind w:left="319" w:right="0" w:firstLine="0"/>
        <w:jc w:val="left"/>
        <w:rPr>
          <w:rFonts w:ascii="Arial" w:hAnsi="Arial"/>
          <w:sz w:val="18"/>
        </w:rPr>
      </w:pPr>
      <w:r>
        <w:rPr>
          <w:rFonts w:ascii="Arial" w:hAnsi="Arial"/>
          <w:color w:val="231F20"/>
          <w:sz w:val="18"/>
        </w:rPr>
        <w:t>8:30 a.m. – 9:20 a.m.</w:t>
      </w:r>
    </w:p>
    <w:p>
      <w:pPr>
        <w:spacing w:before="15"/>
        <w:ind w:left="319" w:right="0" w:firstLine="0"/>
        <w:jc w:val="left"/>
        <w:rPr>
          <w:rFonts w:ascii="Arial"/>
          <w:b/>
          <w:sz w:val="18"/>
        </w:rPr>
      </w:pPr>
      <w:r>
        <w:rPr>
          <w:rFonts w:ascii="Arial"/>
          <w:b/>
          <w:color w:val="231F20"/>
          <w:sz w:val="18"/>
        </w:rPr>
        <w:t>National Labor Relations Act</w:t>
      </w:r>
    </w:p>
    <w:p>
      <w:pPr>
        <w:spacing w:before="15"/>
        <w:ind w:left="319" w:right="0" w:firstLine="0"/>
        <w:jc w:val="left"/>
        <w:rPr>
          <w:rFonts w:ascii="Arial"/>
          <w:i/>
          <w:sz w:val="18"/>
        </w:rPr>
      </w:pPr>
      <w:r>
        <w:rPr>
          <w:rFonts w:ascii="Arial"/>
          <w:i/>
          <w:color w:val="231F20"/>
          <w:sz w:val="18"/>
        </w:rPr>
        <w:t>James M. Craig, Macfarlane Ferguson &amp; McMullen, Tampa</w:t>
      </w:r>
    </w:p>
    <w:p>
      <w:pPr>
        <w:spacing w:before="95"/>
        <w:ind w:left="319" w:right="0" w:firstLine="0"/>
        <w:jc w:val="left"/>
        <w:rPr>
          <w:rFonts w:ascii="Arial" w:hAnsi="Arial"/>
          <w:sz w:val="18"/>
        </w:rPr>
      </w:pPr>
      <w:r>
        <w:rPr>
          <w:rFonts w:ascii="Arial" w:hAnsi="Arial"/>
          <w:color w:val="231F20"/>
          <w:sz w:val="18"/>
        </w:rPr>
        <w:t>9:20 a.m. – 10:10 a.m.</w:t>
      </w:r>
    </w:p>
    <w:p>
      <w:pPr>
        <w:spacing w:before="15"/>
        <w:ind w:left="319" w:right="0" w:firstLine="0"/>
        <w:jc w:val="left"/>
        <w:rPr>
          <w:rFonts w:ascii="Arial"/>
          <w:b/>
          <w:sz w:val="18"/>
        </w:rPr>
      </w:pPr>
      <w:r>
        <w:rPr>
          <w:rFonts w:ascii="Arial"/>
          <w:b/>
          <w:color w:val="231F20"/>
          <w:sz w:val="18"/>
        </w:rPr>
        <w:t>Worker Adjustment and Retraining Notification Act</w:t>
      </w:r>
    </w:p>
    <w:p>
      <w:pPr>
        <w:spacing w:before="15"/>
        <w:ind w:left="319" w:right="0" w:firstLine="0"/>
        <w:jc w:val="left"/>
        <w:rPr>
          <w:rFonts w:ascii="Arial"/>
          <w:i/>
          <w:sz w:val="18"/>
        </w:rPr>
      </w:pPr>
      <w:r>
        <w:rPr>
          <w:rFonts w:ascii="Arial"/>
          <w:i/>
          <w:color w:val="231F20"/>
          <w:sz w:val="18"/>
        </w:rPr>
        <w:t>Ryan D. Barack, Kwall Barack Nadeau, PLLC, Clearwater</w:t>
      </w:r>
    </w:p>
    <w:p>
      <w:pPr>
        <w:spacing w:before="95"/>
        <w:ind w:left="319" w:right="0" w:firstLine="0"/>
        <w:jc w:val="left"/>
        <w:rPr>
          <w:rFonts w:ascii="Arial" w:hAnsi="Arial"/>
          <w:b/>
          <w:sz w:val="18"/>
        </w:rPr>
      </w:pPr>
      <w:r>
        <w:rPr>
          <w:rFonts w:ascii="Arial" w:hAnsi="Arial"/>
          <w:color w:val="231F20"/>
          <w:sz w:val="18"/>
        </w:rPr>
        <w:t>10:10 a.m. – 10:15 a.m. </w:t>
      </w:r>
      <w:r>
        <w:rPr>
          <w:rFonts w:ascii="Arial" w:hAnsi="Arial"/>
          <w:b/>
          <w:color w:val="231F20"/>
          <w:sz w:val="18"/>
        </w:rPr>
        <w:t>Break</w:t>
      </w:r>
    </w:p>
    <w:p>
      <w:pPr>
        <w:spacing w:before="95"/>
        <w:ind w:left="319" w:right="0" w:firstLine="0"/>
        <w:jc w:val="left"/>
        <w:rPr>
          <w:rFonts w:ascii="Arial" w:hAnsi="Arial"/>
          <w:sz w:val="18"/>
        </w:rPr>
      </w:pPr>
      <w:r>
        <w:rPr>
          <w:rFonts w:ascii="Arial" w:hAnsi="Arial"/>
          <w:color w:val="231F20"/>
          <w:sz w:val="18"/>
        </w:rPr>
        <w:t>10:15 a.m. – 12:05 p.m.</w:t>
      </w:r>
    </w:p>
    <w:p>
      <w:pPr>
        <w:spacing w:before="15"/>
        <w:ind w:left="319" w:right="0" w:firstLine="0"/>
        <w:jc w:val="left"/>
        <w:rPr>
          <w:rFonts w:ascii="Arial" w:hAnsi="Arial"/>
          <w:b/>
          <w:sz w:val="18"/>
        </w:rPr>
      </w:pPr>
      <w:r>
        <w:rPr>
          <w:rFonts w:ascii="Arial" w:hAnsi="Arial"/>
          <w:b/>
          <w:color w:val="231F20"/>
          <w:sz w:val="18"/>
        </w:rPr>
        <w:t>EEO – Substantive</w:t>
      </w:r>
    </w:p>
    <w:p>
      <w:pPr>
        <w:spacing w:line="256" w:lineRule="auto" w:before="15"/>
        <w:ind w:left="319" w:right="1707" w:firstLine="0"/>
        <w:jc w:val="left"/>
        <w:rPr>
          <w:rFonts w:ascii="Arial"/>
          <w:i/>
          <w:sz w:val="18"/>
        </w:rPr>
      </w:pPr>
      <w:r>
        <w:rPr>
          <w:rFonts w:ascii="Arial"/>
          <w:i/>
          <w:color w:val="231F20"/>
          <w:sz w:val="18"/>
        </w:rPr>
        <w:t>Kevin D. Johnson, Johnson Jackson, LLC, Tampa </w:t>
      </w:r>
      <w:r>
        <w:rPr>
          <w:rFonts w:ascii="Arial"/>
          <w:i/>
          <w:color w:val="231F20"/>
          <w:sz w:val="18"/>
        </w:rPr>
        <w:t>Erin G. Jackson, Johnson Jackson, LLC, Tampa</w:t>
      </w:r>
    </w:p>
    <w:p>
      <w:pPr>
        <w:spacing w:before="81"/>
        <w:ind w:left="319" w:right="0" w:firstLine="0"/>
        <w:jc w:val="left"/>
        <w:rPr>
          <w:rFonts w:ascii="Arial" w:hAnsi="Arial"/>
          <w:sz w:val="18"/>
        </w:rPr>
      </w:pPr>
      <w:r>
        <w:rPr>
          <w:rFonts w:ascii="Arial" w:hAnsi="Arial"/>
          <w:color w:val="231F20"/>
          <w:sz w:val="18"/>
        </w:rPr>
        <w:t>12:05 p.m. – 1:35 p.m.</w:t>
      </w:r>
    </w:p>
    <w:p>
      <w:pPr>
        <w:spacing w:before="15"/>
        <w:ind w:left="319" w:right="0" w:firstLine="0"/>
        <w:jc w:val="left"/>
        <w:rPr>
          <w:rFonts w:ascii="Arial"/>
          <w:b/>
          <w:sz w:val="18"/>
        </w:rPr>
      </w:pPr>
      <w:r>
        <w:rPr>
          <w:rFonts w:ascii="Arial"/>
          <w:b/>
          <w:color w:val="231F20"/>
          <w:sz w:val="18"/>
        </w:rPr>
        <w:t>Lunch (included in registration fee)</w:t>
      </w:r>
    </w:p>
    <w:p>
      <w:pPr>
        <w:spacing w:before="15"/>
        <w:ind w:left="319" w:right="0" w:firstLine="0"/>
        <w:jc w:val="left"/>
        <w:rPr>
          <w:rFonts w:ascii="Arial"/>
          <w:i/>
          <w:sz w:val="18"/>
        </w:rPr>
      </w:pPr>
      <w:r>
        <w:rPr>
          <w:rFonts w:ascii="Arial"/>
          <w:i/>
          <w:color w:val="231F20"/>
          <w:sz w:val="18"/>
        </w:rPr>
        <w:t>Cathleen Bremmer, Carlton Fields Jorden Burt, P.A., Tampa</w:t>
      </w:r>
    </w:p>
    <w:p>
      <w:pPr>
        <w:spacing w:before="95"/>
        <w:ind w:left="319" w:right="0" w:firstLine="0"/>
        <w:jc w:val="left"/>
        <w:rPr>
          <w:rFonts w:ascii="Arial" w:hAnsi="Arial"/>
          <w:sz w:val="18"/>
        </w:rPr>
      </w:pPr>
      <w:r>
        <w:rPr>
          <w:rFonts w:ascii="Arial" w:hAnsi="Arial"/>
          <w:color w:val="231F20"/>
          <w:sz w:val="18"/>
        </w:rPr>
        <w:t>1:35 p.m. – 2:25 p.m.</w:t>
      </w:r>
    </w:p>
    <w:p>
      <w:pPr>
        <w:spacing w:before="15"/>
        <w:ind w:left="319" w:right="0" w:firstLine="0"/>
        <w:jc w:val="left"/>
        <w:rPr>
          <w:rFonts w:ascii="Arial" w:hAnsi="Arial"/>
          <w:b/>
          <w:sz w:val="18"/>
        </w:rPr>
      </w:pPr>
      <w:r>
        <w:rPr>
          <w:rFonts w:ascii="Arial" w:hAnsi="Arial"/>
          <w:b/>
          <w:color w:val="231F20"/>
          <w:sz w:val="18"/>
        </w:rPr>
        <w:t>EEO – Procedural</w:t>
      </w:r>
    </w:p>
    <w:p>
      <w:pPr>
        <w:spacing w:before="15"/>
        <w:ind w:left="319" w:right="0" w:firstLine="0"/>
        <w:jc w:val="left"/>
        <w:rPr>
          <w:rFonts w:ascii="Arial"/>
          <w:i/>
          <w:sz w:val="18"/>
        </w:rPr>
      </w:pPr>
      <w:r>
        <w:rPr>
          <w:rFonts w:ascii="Arial"/>
          <w:i/>
          <w:color w:val="231F20"/>
          <w:sz w:val="18"/>
        </w:rPr>
        <w:t>Diane P. Perez, Diane Perez, P.A., Coral Gables</w:t>
      </w:r>
    </w:p>
    <w:p>
      <w:pPr>
        <w:spacing w:before="95"/>
        <w:ind w:left="319" w:right="0" w:firstLine="0"/>
        <w:jc w:val="left"/>
        <w:rPr>
          <w:rFonts w:ascii="Arial" w:hAnsi="Arial"/>
          <w:sz w:val="18"/>
        </w:rPr>
      </w:pPr>
      <w:r>
        <w:rPr>
          <w:rFonts w:ascii="Arial" w:hAnsi="Arial"/>
          <w:color w:val="231F20"/>
          <w:sz w:val="18"/>
        </w:rPr>
        <w:t>2:25 p.m. – 3:25 p.m.</w:t>
      </w:r>
    </w:p>
    <w:p>
      <w:pPr>
        <w:spacing w:before="15"/>
        <w:ind w:left="319" w:right="0" w:firstLine="0"/>
        <w:jc w:val="left"/>
        <w:rPr>
          <w:rFonts w:ascii="Arial"/>
          <w:b/>
          <w:sz w:val="18"/>
        </w:rPr>
      </w:pPr>
      <w:r>
        <w:rPr>
          <w:rFonts w:ascii="Arial"/>
          <w:b/>
          <w:color w:val="231F20"/>
          <w:sz w:val="18"/>
        </w:rPr>
        <w:t>Statutory and Common Law Protection of Business Interests</w:t>
      </w:r>
    </w:p>
    <w:p>
      <w:pPr>
        <w:spacing w:line="256" w:lineRule="auto" w:before="15"/>
        <w:ind w:left="499" w:right="1127" w:hanging="180"/>
        <w:jc w:val="left"/>
        <w:rPr>
          <w:rFonts w:ascii="Arial"/>
          <w:i/>
          <w:sz w:val="18"/>
        </w:rPr>
      </w:pPr>
      <w:r>
        <w:rPr>
          <w:rFonts w:ascii="Arial"/>
          <w:i/>
          <w:color w:val="231F20"/>
          <w:sz w:val="18"/>
        </w:rPr>
        <w:t>M. Sean Moyles, Langston Hess Hussey Greenhill &amp; Moyles, </w:t>
      </w:r>
      <w:r>
        <w:rPr>
          <w:rFonts w:ascii="Arial"/>
          <w:i/>
          <w:color w:val="231F20"/>
          <w:sz w:val="18"/>
        </w:rPr>
        <w:t>Clearwater</w:t>
      </w:r>
    </w:p>
    <w:p>
      <w:pPr>
        <w:spacing w:before="81"/>
        <w:ind w:left="319" w:right="0" w:firstLine="0"/>
        <w:jc w:val="left"/>
        <w:rPr>
          <w:rFonts w:ascii="Arial" w:hAnsi="Arial"/>
          <w:b/>
          <w:sz w:val="18"/>
        </w:rPr>
      </w:pPr>
      <w:r>
        <w:rPr>
          <w:rFonts w:ascii="Arial" w:hAnsi="Arial"/>
          <w:color w:val="231F20"/>
          <w:sz w:val="18"/>
        </w:rPr>
        <w:t>3:25 p.m. – 3:30 p.m. </w:t>
      </w:r>
      <w:r>
        <w:rPr>
          <w:rFonts w:ascii="Arial" w:hAnsi="Arial"/>
          <w:b/>
          <w:color w:val="231F20"/>
          <w:sz w:val="18"/>
        </w:rPr>
        <w:t>Break</w:t>
      </w:r>
    </w:p>
    <w:p>
      <w:pPr>
        <w:spacing w:before="95"/>
        <w:ind w:left="319" w:right="0" w:firstLine="0"/>
        <w:jc w:val="left"/>
        <w:rPr>
          <w:rFonts w:ascii="Arial" w:hAnsi="Arial"/>
          <w:sz w:val="18"/>
        </w:rPr>
      </w:pPr>
      <w:r>
        <w:rPr>
          <w:rFonts w:ascii="Arial" w:hAnsi="Arial"/>
          <w:color w:val="231F20"/>
          <w:sz w:val="18"/>
        </w:rPr>
        <w:t>3:30 p.m. – 4:00 p.m.</w:t>
      </w:r>
    </w:p>
    <w:p>
      <w:pPr>
        <w:spacing w:before="15"/>
        <w:ind w:left="319" w:right="0" w:firstLine="0"/>
        <w:jc w:val="left"/>
        <w:rPr>
          <w:rFonts w:ascii="Arial"/>
          <w:b/>
          <w:sz w:val="18"/>
        </w:rPr>
      </w:pPr>
      <w:r>
        <w:rPr>
          <w:rFonts w:ascii="Arial"/>
          <w:b/>
          <w:color w:val="231F20"/>
          <w:sz w:val="18"/>
        </w:rPr>
        <w:t>OSHA</w:t>
      </w:r>
    </w:p>
    <w:p>
      <w:pPr>
        <w:spacing w:line="256" w:lineRule="auto" w:before="15"/>
        <w:ind w:left="499" w:right="561" w:hanging="180"/>
        <w:jc w:val="left"/>
        <w:rPr>
          <w:rFonts w:ascii="Arial"/>
          <w:i/>
          <w:sz w:val="18"/>
        </w:rPr>
      </w:pPr>
      <w:r>
        <w:rPr>
          <w:rFonts w:ascii="Arial"/>
          <w:i/>
          <w:color w:val="231F20"/>
          <w:sz w:val="18"/>
        </w:rPr>
        <w:t>Phillip B. Russell, Ogletree, Deakins, Nash, Smoak &amp; </w:t>
      </w:r>
      <w:r>
        <w:rPr>
          <w:rFonts w:ascii="Arial"/>
          <w:i/>
          <w:color w:val="231F20"/>
          <w:spacing w:val="-3"/>
          <w:sz w:val="18"/>
        </w:rPr>
        <w:t>Stewart, </w:t>
      </w:r>
      <w:r>
        <w:rPr>
          <w:rFonts w:ascii="Arial"/>
          <w:i/>
          <w:color w:val="231F20"/>
          <w:spacing w:val="-4"/>
          <w:sz w:val="18"/>
        </w:rPr>
        <w:t>Tampa</w:t>
      </w:r>
    </w:p>
    <w:p>
      <w:pPr>
        <w:spacing w:line="256" w:lineRule="auto" w:before="1"/>
        <w:ind w:left="499" w:right="1041" w:hanging="180"/>
        <w:jc w:val="left"/>
        <w:rPr>
          <w:rFonts w:ascii="Arial"/>
          <w:i/>
          <w:sz w:val="18"/>
        </w:rPr>
      </w:pPr>
      <w:r>
        <w:rPr>
          <w:rFonts w:ascii="Arial"/>
          <w:i/>
          <w:color w:val="231F20"/>
          <w:sz w:val="18"/>
        </w:rPr>
        <w:t>Dee Anna Hayes, Ogletree, Deakins, Nash, Smoak &amp; </w:t>
      </w:r>
      <w:r>
        <w:rPr>
          <w:rFonts w:ascii="Arial"/>
          <w:i/>
          <w:color w:val="231F20"/>
          <w:spacing w:val="-3"/>
          <w:sz w:val="18"/>
        </w:rPr>
        <w:t>Stewart, </w:t>
      </w:r>
      <w:r>
        <w:rPr>
          <w:rFonts w:ascii="Arial"/>
          <w:i/>
          <w:color w:val="231F20"/>
          <w:spacing w:val="-4"/>
          <w:sz w:val="18"/>
        </w:rPr>
        <w:t>Tampa</w:t>
      </w:r>
    </w:p>
    <w:p>
      <w:pPr>
        <w:spacing w:before="81"/>
        <w:ind w:left="319" w:right="0" w:firstLine="0"/>
        <w:jc w:val="left"/>
        <w:rPr>
          <w:rFonts w:ascii="Arial" w:hAnsi="Arial"/>
          <w:sz w:val="18"/>
        </w:rPr>
      </w:pPr>
      <w:r>
        <w:rPr>
          <w:rFonts w:ascii="Arial" w:hAnsi="Arial"/>
          <w:color w:val="231F20"/>
          <w:sz w:val="18"/>
        </w:rPr>
        <w:t>4:00 p.m. – 4:30 p.m.</w:t>
      </w:r>
    </w:p>
    <w:p>
      <w:pPr>
        <w:spacing w:before="15"/>
        <w:ind w:left="319" w:right="0" w:firstLine="0"/>
        <w:jc w:val="left"/>
        <w:rPr>
          <w:rFonts w:ascii="Arial"/>
          <w:b/>
          <w:sz w:val="18"/>
        </w:rPr>
      </w:pPr>
      <w:r>
        <w:rPr>
          <w:rFonts w:ascii="Arial"/>
          <w:b/>
          <w:color w:val="231F20"/>
          <w:sz w:val="18"/>
        </w:rPr>
        <w:t>Workplace Privacy/FCRA</w:t>
      </w:r>
    </w:p>
    <w:p>
      <w:pPr>
        <w:spacing w:line="256" w:lineRule="auto" w:before="16"/>
        <w:ind w:left="499" w:right="723" w:hanging="180"/>
        <w:jc w:val="left"/>
        <w:rPr>
          <w:rFonts w:ascii="Arial"/>
          <w:i/>
          <w:sz w:val="18"/>
        </w:rPr>
      </w:pPr>
      <w:r>
        <w:rPr>
          <w:rFonts w:ascii="Arial"/>
          <w:i/>
          <w:color w:val="231F20"/>
          <w:sz w:val="18"/>
        </w:rPr>
        <w:t>Gregory</w:t>
      </w:r>
      <w:r>
        <w:rPr>
          <w:rFonts w:ascii="Arial"/>
          <w:i/>
          <w:color w:val="231F20"/>
          <w:spacing w:val="-21"/>
          <w:sz w:val="18"/>
        </w:rPr>
        <w:t> </w:t>
      </w:r>
      <w:r>
        <w:rPr>
          <w:rFonts w:ascii="Arial"/>
          <w:i/>
          <w:color w:val="231F20"/>
          <w:sz w:val="18"/>
        </w:rPr>
        <w:t>A.</w:t>
      </w:r>
      <w:r>
        <w:rPr>
          <w:rFonts w:ascii="Arial"/>
          <w:i/>
          <w:color w:val="231F20"/>
          <w:spacing w:val="-13"/>
          <w:sz w:val="18"/>
        </w:rPr>
        <w:t> </w:t>
      </w:r>
      <w:r>
        <w:rPr>
          <w:rFonts w:ascii="Arial"/>
          <w:i/>
          <w:color w:val="231F20"/>
          <w:sz w:val="18"/>
        </w:rPr>
        <w:t>Hearing,</w:t>
      </w:r>
      <w:r>
        <w:rPr>
          <w:rFonts w:ascii="Arial"/>
          <w:i/>
          <w:color w:val="231F20"/>
          <w:spacing w:val="-17"/>
          <w:sz w:val="18"/>
        </w:rPr>
        <w:t> </w:t>
      </w:r>
      <w:r>
        <w:rPr>
          <w:rFonts w:ascii="Arial"/>
          <w:i/>
          <w:color w:val="231F20"/>
          <w:sz w:val="18"/>
        </w:rPr>
        <w:t>Thompson</w:t>
      </w:r>
      <w:r>
        <w:rPr>
          <w:rFonts w:ascii="Arial"/>
          <w:i/>
          <w:color w:val="231F20"/>
          <w:spacing w:val="-13"/>
          <w:sz w:val="18"/>
        </w:rPr>
        <w:t> </w:t>
      </w:r>
      <w:r>
        <w:rPr>
          <w:rFonts w:ascii="Arial"/>
          <w:i/>
          <w:color w:val="231F20"/>
          <w:sz w:val="18"/>
        </w:rPr>
        <w:t>Sizemore</w:t>
      </w:r>
      <w:r>
        <w:rPr>
          <w:rFonts w:ascii="Arial"/>
          <w:i/>
          <w:color w:val="231F20"/>
          <w:spacing w:val="-13"/>
          <w:sz w:val="18"/>
        </w:rPr>
        <w:t> </w:t>
      </w:r>
      <w:r>
        <w:rPr>
          <w:rFonts w:ascii="Arial"/>
          <w:i/>
          <w:color w:val="231F20"/>
          <w:sz w:val="18"/>
        </w:rPr>
        <w:t>Gonzalez</w:t>
      </w:r>
      <w:r>
        <w:rPr>
          <w:rFonts w:ascii="Arial"/>
          <w:i/>
          <w:color w:val="231F20"/>
          <w:spacing w:val="-13"/>
          <w:sz w:val="18"/>
        </w:rPr>
        <w:t> </w:t>
      </w:r>
      <w:r>
        <w:rPr>
          <w:rFonts w:ascii="Arial"/>
          <w:i/>
          <w:color w:val="231F20"/>
          <w:sz w:val="18"/>
        </w:rPr>
        <w:t>&amp;</w:t>
      </w:r>
      <w:r>
        <w:rPr>
          <w:rFonts w:ascii="Arial"/>
          <w:i/>
          <w:color w:val="231F20"/>
          <w:spacing w:val="-13"/>
          <w:sz w:val="18"/>
        </w:rPr>
        <w:t> </w:t>
      </w:r>
      <w:r>
        <w:rPr>
          <w:rFonts w:ascii="Arial"/>
          <w:i/>
          <w:color w:val="231F20"/>
          <w:sz w:val="18"/>
        </w:rPr>
        <w:t>Hearing</w:t>
      </w:r>
      <w:r>
        <w:rPr>
          <w:rFonts w:ascii="Arial"/>
          <w:i/>
          <w:color w:val="231F20"/>
          <w:spacing w:val="-13"/>
          <w:sz w:val="18"/>
        </w:rPr>
        <w:t> </w:t>
      </w:r>
      <w:r>
        <w:rPr>
          <w:rFonts w:ascii="Arial"/>
          <w:i/>
          <w:color w:val="231F20"/>
          <w:spacing w:val="-8"/>
          <w:sz w:val="18"/>
        </w:rPr>
        <w:t>P.A., </w:t>
      </w:r>
      <w:r>
        <w:rPr>
          <w:rFonts w:ascii="Arial"/>
          <w:i/>
          <w:color w:val="231F20"/>
          <w:spacing w:val="-4"/>
          <w:sz w:val="18"/>
        </w:rPr>
        <w:t>Tampa</w:t>
      </w:r>
    </w:p>
    <w:p>
      <w:pPr>
        <w:spacing w:after="0" w:line="256" w:lineRule="auto"/>
        <w:jc w:val="left"/>
        <w:rPr>
          <w:rFonts w:ascii="Arial"/>
          <w:sz w:val="18"/>
        </w:rPr>
        <w:sectPr>
          <w:type w:val="continuous"/>
          <w:pgSz w:w="12240" w:h="15840"/>
          <w:pgMar w:top="540" w:bottom="280" w:left="0" w:right="0"/>
          <w:pgBorders w:offsetFrom="page">
            <w:top w:val="thinThickSmallGap" w:color="231F20" w:space="16" w:sz="12"/>
            <w:left w:val="thinThickSmallGap" w:color="231F20" w:space="16" w:sz="12"/>
            <w:bottom w:val="thickThinSmallGap" w:color="231F20" w:space="16" w:sz="12"/>
            <w:right w:val="thickThinSmallGap" w:color="231F20" w:space="16" w:sz="12"/>
          </w:pgBorders>
          <w:cols w:num="2" w:equalWidth="0">
            <w:col w:w="5881" w:space="40"/>
            <w:col w:w="6319"/>
          </w:cols>
        </w:sectPr>
      </w:pPr>
    </w:p>
    <w:p>
      <w:pPr>
        <w:pStyle w:val="BodyText"/>
        <w:spacing w:before="1"/>
        <w:rPr>
          <w:rFonts w:ascii="Arial"/>
          <w:i/>
          <w:sz w:val="14"/>
        </w:rPr>
      </w:pPr>
    </w:p>
    <w:p>
      <w:pPr>
        <w:tabs>
          <w:tab w:pos="5459" w:val="left" w:leader="none"/>
          <w:tab w:pos="11579" w:val="left" w:leader="none"/>
        </w:tabs>
        <w:spacing w:before="104"/>
        <w:ind w:left="540" w:right="0" w:firstLine="0"/>
        <w:jc w:val="left"/>
        <w:rPr>
          <w:rFonts w:ascii="Arial"/>
          <w:b/>
          <w:sz w:val="18"/>
        </w:rPr>
      </w:pPr>
      <w:r>
        <w:rPr>
          <w:rFonts w:ascii="Arial"/>
          <w:b/>
          <w:color w:val="FFFFFF"/>
          <w:w w:val="100"/>
          <w:sz w:val="18"/>
          <w:shd w:fill="231F20" w:color="auto" w:val="clear"/>
        </w:rPr>
        <w:t> </w:t>
      </w:r>
      <w:r>
        <w:rPr>
          <w:rFonts w:ascii="Arial"/>
          <w:b/>
          <w:color w:val="FFFFFF"/>
          <w:sz w:val="18"/>
          <w:shd w:fill="231F20" w:color="auto" w:val="clear"/>
        </w:rPr>
        <w:tab/>
        <w:t>CLE CREDITS</w:t>
        <w:tab/>
      </w:r>
    </w:p>
    <w:p>
      <w:pPr>
        <w:spacing w:after="0"/>
        <w:jc w:val="left"/>
        <w:rPr>
          <w:rFonts w:ascii="Arial"/>
          <w:sz w:val="18"/>
        </w:rPr>
        <w:sectPr>
          <w:type w:val="continuous"/>
          <w:pgSz w:w="12240" w:h="15840"/>
          <w:pgMar w:top="540" w:bottom="280" w:left="0" w:right="0"/>
          <w:pgBorders w:offsetFrom="page">
            <w:top w:val="thinThickSmallGap" w:color="231F20" w:space="16" w:sz="12"/>
            <w:left w:val="thinThickSmallGap" w:color="231F20" w:space="16" w:sz="12"/>
            <w:bottom w:val="thickThinSmallGap" w:color="231F20" w:space="16" w:sz="12"/>
            <w:right w:val="thickThinSmallGap" w:color="231F20" w:space="16" w:sz="12"/>
          </w:pgBorders>
        </w:sectPr>
      </w:pPr>
    </w:p>
    <w:p>
      <w:pPr>
        <w:spacing w:before="180"/>
        <w:ind w:left="2417" w:right="0" w:firstLine="0"/>
        <w:jc w:val="left"/>
        <w:rPr>
          <w:rFonts w:ascii="Arial"/>
          <w:b/>
          <w:sz w:val="20"/>
        </w:rPr>
      </w:pPr>
      <w:r>
        <w:rPr>
          <w:rFonts w:ascii="Arial"/>
          <w:b/>
          <w:color w:val="231F20"/>
          <w:sz w:val="20"/>
        </w:rPr>
        <w:t>CLER</w:t>
      </w:r>
      <w:r>
        <w:rPr>
          <w:rFonts w:ascii="Arial"/>
          <w:b/>
          <w:color w:val="231F20"/>
          <w:spacing w:val="-1"/>
          <w:sz w:val="20"/>
        </w:rPr>
        <w:t> </w:t>
      </w:r>
      <w:r>
        <w:rPr>
          <w:rFonts w:ascii="Arial"/>
          <w:b/>
          <w:color w:val="231F20"/>
          <w:sz w:val="20"/>
        </w:rPr>
        <w:t>PROGRAM</w:t>
      </w:r>
    </w:p>
    <w:p>
      <w:pPr>
        <w:spacing w:before="45"/>
        <w:ind w:left="2444" w:right="0" w:firstLine="0"/>
        <w:jc w:val="left"/>
        <w:rPr>
          <w:rFonts w:ascii="Arial"/>
          <w:sz w:val="18"/>
        </w:rPr>
      </w:pPr>
      <w:r>
        <w:rPr>
          <w:rFonts w:ascii="Arial"/>
          <w:color w:val="231F20"/>
          <w:sz w:val="18"/>
        </w:rPr>
        <w:t>General: 16.5</w:t>
      </w:r>
      <w:r>
        <w:rPr>
          <w:rFonts w:ascii="Arial"/>
          <w:color w:val="231F20"/>
          <w:spacing w:val="-1"/>
          <w:sz w:val="18"/>
        </w:rPr>
        <w:t> </w:t>
      </w:r>
      <w:r>
        <w:rPr>
          <w:rFonts w:ascii="Arial"/>
          <w:color w:val="231F20"/>
          <w:sz w:val="18"/>
        </w:rPr>
        <w:t>hours</w:t>
      </w:r>
    </w:p>
    <w:p>
      <w:pPr>
        <w:spacing w:before="181"/>
        <w:ind w:left="2397" w:right="1624" w:firstLine="0"/>
        <w:jc w:val="center"/>
        <w:rPr>
          <w:rFonts w:ascii="Arial"/>
          <w:b/>
          <w:sz w:val="20"/>
        </w:rPr>
      </w:pPr>
      <w:r>
        <w:rPr/>
        <w:br w:type="column"/>
      </w:r>
      <w:r>
        <w:rPr>
          <w:rFonts w:ascii="Arial"/>
          <w:b/>
          <w:color w:val="231F20"/>
          <w:sz w:val="20"/>
        </w:rPr>
        <w:t>CERTIFICATION PROGRAM</w:t>
      </w:r>
    </w:p>
    <w:p>
      <w:pPr>
        <w:spacing w:before="45"/>
        <w:ind w:left="2397" w:right="1624" w:firstLine="0"/>
        <w:jc w:val="center"/>
        <w:rPr>
          <w:rFonts w:ascii="Arial"/>
          <w:sz w:val="18"/>
        </w:rPr>
      </w:pPr>
      <w:r>
        <w:rPr>
          <w:rFonts w:ascii="Arial"/>
          <w:color w:val="231F20"/>
          <w:sz w:val="18"/>
        </w:rPr>
        <w:t>Labor and Employment Law: 16.5 hours</w:t>
      </w:r>
    </w:p>
    <w:p>
      <w:pPr>
        <w:spacing w:after="0"/>
        <w:jc w:val="center"/>
        <w:rPr>
          <w:rFonts w:ascii="Arial"/>
          <w:sz w:val="18"/>
        </w:rPr>
        <w:sectPr>
          <w:type w:val="continuous"/>
          <w:pgSz w:w="12240" w:h="15840"/>
          <w:pgMar w:top="540" w:bottom="280" w:left="0" w:right="0"/>
          <w:pgBorders w:offsetFrom="page">
            <w:top w:val="thinThickSmallGap" w:color="231F20" w:space="16" w:sz="12"/>
            <w:left w:val="thinThickSmallGap" w:color="231F20" w:space="16" w:sz="12"/>
            <w:bottom w:val="thickThinSmallGap" w:color="231F20" w:space="16" w:sz="12"/>
            <w:right w:val="thickThinSmallGap" w:color="231F20" w:space="16" w:sz="12"/>
          </w:pgBorders>
          <w:cols w:num="2" w:equalWidth="0">
            <w:col w:w="4103" w:space="884"/>
            <w:col w:w="7253"/>
          </w:cols>
        </w:sectPr>
      </w:pPr>
    </w:p>
    <w:p>
      <w:pPr>
        <w:tabs>
          <w:tab w:pos="4359" w:val="left" w:leader="none"/>
          <w:tab w:pos="8123" w:val="left" w:leader="none"/>
        </w:tabs>
        <w:spacing w:before="93"/>
        <w:ind w:left="0" w:right="0" w:firstLine="0"/>
        <w:jc w:val="center"/>
        <w:rPr>
          <w:rFonts w:ascii="Arial"/>
          <w:sz w:val="16"/>
        </w:rPr>
      </w:pPr>
      <w:r>
        <w:rPr>
          <w:rFonts w:ascii="Arial"/>
          <w:sz w:val="16"/>
        </w:rPr>
        <w:t>Labor Agenda Winter</w:t>
      </w:r>
      <w:r>
        <w:rPr>
          <w:rFonts w:ascii="Arial"/>
          <w:spacing w:val="-6"/>
          <w:sz w:val="16"/>
        </w:rPr>
        <w:t> </w:t>
      </w:r>
      <w:r>
        <w:rPr>
          <w:rFonts w:ascii="Arial"/>
          <w:sz w:val="16"/>
        </w:rPr>
        <w:t>Meeting</w:t>
      </w:r>
      <w:r>
        <w:rPr>
          <w:rFonts w:ascii="Arial"/>
          <w:spacing w:val="-1"/>
          <w:sz w:val="16"/>
        </w:rPr>
        <w:t> </w:t>
      </w:r>
      <w:r>
        <w:rPr>
          <w:rFonts w:ascii="Arial"/>
          <w:sz w:val="16"/>
        </w:rPr>
        <w:t>2019</w:t>
        <w:tab/>
        <w:t>Exhibit H</w:t>
        <w:tab/>
        <w:t>January 17,</w:t>
      </w:r>
      <w:r>
        <w:rPr>
          <w:rFonts w:ascii="Arial"/>
          <w:spacing w:val="-1"/>
          <w:sz w:val="16"/>
        </w:rPr>
        <w:t> </w:t>
      </w:r>
      <w:r>
        <w:rPr>
          <w:rFonts w:ascii="Arial"/>
          <w:sz w:val="16"/>
        </w:rPr>
        <w:t>2019</w:t>
      </w:r>
    </w:p>
    <w:p>
      <w:pPr>
        <w:spacing w:after="0"/>
        <w:jc w:val="center"/>
        <w:rPr>
          <w:rFonts w:ascii="Arial"/>
          <w:sz w:val="16"/>
        </w:rPr>
        <w:sectPr>
          <w:type w:val="continuous"/>
          <w:pgSz w:w="12240" w:h="15840"/>
          <w:pgMar w:top="540" w:bottom="280" w:left="0" w:right="0"/>
          <w:pgBorders w:offsetFrom="page">
            <w:top w:val="thinThickSmallGap" w:color="231F20" w:space="16" w:sz="12"/>
            <w:left w:val="thinThickSmallGap" w:color="231F20" w:space="16" w:sz="12"/>
            <w:bottom w:val="thickThinSmallGap" w:color="231F20" w:space="16" w:sz="12"/>
            <w:right w:val="thickThinSmallGap" w:color="231F20" w:space="16" w:sz="12"/>
          </w:pgBorder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6"/>
        </w:rPr>
      </w:pPr>
    </w:p>
    <w:p>
      <w:pPr>
        <w:spacing w:line="732" w:lineRule="exact" w:before="0"/>
        <w:ind w:left="848" w:right="0" w:firstLine="0"/>
        <w:jc w:val="left"/>
        <w:rPr>
          <w:rFonts w:ascii="Calibri"/>
          <w:b/>
          <w:sz w:val="62"/>
        </w:rPr>
      </w:pPr>
      <w:r>
        <w:rPr/>
        <w:pict>
          <v:group style="position:absolute;margin-left:0pt;margin-top:-95.723892pt;width:612pt;height:98.4pt;mso-position-horizontal-relative:page;mso-position-vertical-relative:paragraph;z-index:-253882368" coordorigin="0,-1914" coordsize="12240,1968">
            <v:rect style="position:absolute;left:0;top:-1489;width:12240;height:1020" filled="true" fillcolor="#26337b" stroked="false">
              <v:fill type="solid"/>
            </v:rect>
            <v:shape style="position:absolute;left:1925;top:-1915;width:1917;height:1968" coordorigin="1925,-1914" coordsize="1917,1968" path="m2883,-1914l2808,-1912,2735,-1903,2663,-1888,2594,-1869,2527,-1844,2462,-1814,2400,-1780,2340,-1741,2284,-1698,2231,-1651,2181,-1600,2135,-1546,2094,-1488,2056,-1427,2022,-1363,1994,-1297,1969,-1227,1950,-1156,1936,-1083,1928,-1007,1925,-930,1928,-854,1936,-778,1950,-705,1969,-633,1994,-564,2022,-498,2056,-434,2094,-373,2135,-315,2181,-261,2231,-210,2284,-163,2340,-120,2400,-81,2462,-46,2527,-17,2594,8,2663,28,2735,42,2808,51,2883,54,2958,51,3031,42,3103,28,3172,8,3240,-17,3304,-46,3367,-81,3426,-120,3482,-163,3535,-210,3585,-261,3631,-315,3673,-373,3710,-434,3744,-498,3773,-564,3797,-633,3816,-705,3830,-778,3838,-854,3841,-930,3838,-1007,3830,-1083,3816,-1156,3797,-1227,3773,-1297,3744,-1363,3710,-1427,3673,-1488,3631,-1546,3585,-1600,3535,-1651,3482,-1698,3426,-1741,3367,-1780,3304,-1814,3240,-1844,3172,-1869,3103,-1888,3031,-1903,2958,-1912,2883,-1914xe" filled="true" fillcolor="#ffffff" stroked="false">
              <v:path arrowok="t"/>
              <v:fill type="solid"/>
            </v:shape>
            <v:shape style="position:absolute;left:1979;top:-1882;width:1808;height:1804" type="#_x0000_t75" stroked="false">
              <v:imagedata r:id="rId35" o:title=""/>
            </v:shape>
            <v:shape style="position:absolute;left:0;top:-1915;width:12240;height:1968" type="#_x0000_t202" filled="false" stroked="false">
              <v:textbox inset="0,0,0,0">
                <w:txbxContent>
                  <w:p>
                    <w:pPr>
                      <w:spacing w:line="240" w:lineRule="auto" w:before="8"/>
                      <w:rPr>
                        <w:rFonts w:ascii="Arial"/>
                        <w:sz w:val="43"/>
                      </w:rPr>
                    </w:pPr>
                  </w:p>
                  <w:p>
                    <w:pPr>
                      <w:spacing w:line="436" w:lineRule="exact" w:before="0"/>
                      <w:ind w:left="3286" w:right="834" w:firstLine="0"/>
                      <w:jc w:val="center"/>
                      <w:rPr>
                        <w:rFonts w:ascii="Calibri"/>
                        <w:b/>
                        <w:sz w:val="36"/>
                      </w:rPr>
                    </w:pPr>
                    <w:r>
                      <w:rPr>
                        <w:rFonts w:ascii="Calibri"/>
                        <w:b/>
                        <w:color w:val="FFFFFF"/>
                        <w:w w:val="110"/>
                        <w:sz w:val="36"/>
                      </w:rPr>
                      <w:t>The Florida Bar</w:t>
                    </w:r>
                  </w:p>
                  <w:p>
                    <w:pPr>
                      <w:spacing w:line="436" w:lineRule="exact" w:before="0"/>
                      <w:ind w:left="2453" w:right="0" w:firstLine="0"/>
                      <w:jc w:val="center"/>
                      <w:rPr>
                        <w:rFonts w:ascii="Calibri"/>
                        <w:b/>
                        <w:sz w:val="36"/>
                      </w:rPr>
                    </w:pPr>
                    <w:r>
                      <w:rPr>
                        <w:rFonts w:ascii="Calibri"/>
                        <w:b/>
                        <w:color w:val="FFFFFF"/>
                        <w:w w:val="110"/>
                        <w:sz w:val="36"/>
                      </w:rPr>
                      <w:t>Labor and Employment Law Section</w:t>
                    </w:r>
                  </w:p>
                </w:txbxContent>
              </v:textbox>
              <w10:wrap type="none"/>
            </v:shape>
            <w10:wrap type="none"/>
          </v:group>
        </w:pict>
      </w:r>
      <w:bookmarkStart w:name="11 - Exhibit I - Updated 2957-LE-Flyer-B" w:id="31"/>
      <w:bookmarkEnd w:id="31"/>
      <w:r>
        <w:rPr/>
      </w:r>
      <w:r>
        <w:rPr>
          <w:rFonts w:ascii="Calibri"/>
          <w:b/>
          <w:color w:val="26337B"/>
          <w:sz w:val="62"/>
        </w:rPr>
        <w:t>2018 -2019 Audio Webcast Series (2957)</w:t>
      </w:r>
    </w:p>
    <w:p>
      <w:pPr>
        <w:pStyle w:val="BodyText"/>
        <w:rPr>
          <w:rFonts w:ascii="Calibri"/>
          <w:b/>
          <w:sz w:val="20"/>
        </w:rPr>
      </w:pPr>
    </w:p>
    <w:p>
      <w:pPr>
        <w:spacing w:after="0"/>
        <w:rPr>
          <w:rFonts w:ascii="Calibri"/>
          <w:sz w:val="20"/>
        </w:rPr>
        <w:sectPr>
          <w:footerReference w:type="default" r:id="rId34"/>
          <w:pgSz w:w="12240" w:h="15840"/>
          <w:pgMar w:footer="0" w:header="0" w:top="260" w:bottom="0" w:left="0" w:right="0"/>
        </w:sectPr>
      </w:pPr>
    </w:p>
    <w:p>
      <w:pPr>
        <w:spacing w:before="106"/>
        <w:ind w:left="479" w:right="0" w:firstLine="0"/>
        <w:jc w:val="center"/>
        <w:rPr>
          <w:rFonts w:ascii="Arial"/>
          <w:b/>
          <w:sz w:val="24"/>
        </w:rPr>
      </w:pPr>
      <w:r>
        <w:rPr/>
        <w:pict>
          <v:group style="position:absolute;margin-left:0pt;margin-top:-8.240118pt;width:612pt;height:510.7pt;mso-position-horizontal-relative:page;mso-position-vertical-relative:paragraph;z-index:-253881344" coordorigin="0,-165" coordsize="12240,10214">
            <v:line style="position:absolute" from="0,-135" to="12240,-135" stroked="true" strokeweight="3pt" strokecolor="#26337b">
              <v:stroke dashstyle="solid"/>
            </v:line>
            <v:line style="position:absolute" from="6120,-135" to="6120,9769" stroked="true" strokeweight="1.5pt" strokecolor="#26337b">
              <v:stroke dashstyle="solid"/>
            </v:line>
            <v:rect style="position:absolute;left:480;top:9769;width:11280;height:280" filled="true" fillcolor="#26337b" stroked="false">
              <v:fill type="solid"/>
            </v:rect>
            <w10:wrap type="none"/>
          </v:group>
        </w:pict>
      </w:r>
      <w:r>
        <w:rPr>
          <w:rFonts w:ascii="Arial"/>
          <w:b/>
          <w:color w:val="231F20"/>
          <w:w w:val="100"/>
          <w:sz w:val="24"/>
          <w:u w:val="single" w:color="231F20"/>
        </w:rPr>
        <w:t> </w:t>
      </w:r>
      <w:r>
        <w:rPr>
          <w:rFonts w:ascii="Arial"/>
          <w:b/>
          <w:color w:val="231F20"/>
          <w:sz w:val="24"/>
          <w:u w:val="single" w:color="231F20"/>
        </w:rPr>
        <w:t>November 7,</w:t>
      </w:r>
      <w:r>
        <w:rPr>
          <w:rFonts w:ascii="Arial"/>
          <w:b/>
          <w:color w:val="231F20"/>
          <w:spacing w:val="-1"/>
          <w:sz w:val="24"/>
          <w:u w:val="single" w:color="231F20"/>
        </w:rPr>
        <w:t> </w:t>
      </w:r>
      <w:r>
        <w:rPr>
          <w:rFonts w:ascii="Arial"/>
          <w:b/>
          <w:color w:val="231F20"/>
          <w:sz w:val="24"/>
          <w:u w:val="single" w:color="231F20"/>
        </w:rPr>
        <w:t>2018</w:t>
      </w:r>
    </w:p>
    <w:p>
      <w:pPr>
        <w:spacing w:before="47"/>
        <w:ind w:left="2129" w:right="0" w:firstLine="0"/>
        <w:jc w:val="left"/>
        <w:rPr>
          <w:rFonts w:ascii="Arial" w:hAnsi="Arial"/>
          <w:sz w:val="20"/>
        </w:rPr>
      </w:pPr>
      <w:r>
        <w:rPr>
          <w:rFonts w:ascii="Arial" w:hAnsi="Arial"/>
          <w:color w:val="231F20"/>
          <w:sz w:val="20"/>
        </w:rPr>
        <w:t>12:00 noon – 12:50</w:t>
      </w:r>
      <w:r>
        <w:rPr>
          <w:rFonts w:ascii="Arial" w:hAnsi="Arial"/>
          <w:color w:val="231F20"/>
          <w:spacing w:val="-9"/>
          <w:sz w:val="20"/>
        </w:rPr>
        <w:t> </w:t>
      </w:r>
      <w:r>
        <w:rPr>
          <w:rFonts w:ascii="Arial" w:hAnsi="Arial"/>
          <w:color w:val="231F20"/>
          <w:sz w:val="20"/>
        </w:rPr>
        <w:t>p.m.</w:t>
      </w:r>
    </w:p>
    <w:p>
      <w:pPr>
        <w:pStyle w:val="Heading6"/>
        <w:spacing w:line="247" w:lineRule="auto" w:before="58"/>
        <w:ind w:left="481"/>
      </w:pPr>
      <w:r>
        <w:rPr>
          <w:color w:val="40AD49"/>
        </w:rPr>
        <w:t>The Intersection of Medical Marijuana and Employment Law (2884)</w:t>
      </w:r>
    </w:p>
    <w:p>
      <w:pPr>
        <w:spacing w:before="23"/>
        <w:ind w:left="480" w:right="0" w:firstLine="0"/>
        <w:jc w:val="both"/>
        <w:rPr>
          <w:rFonts w:ascii="Arial"/>
          <w:sz w:val="19"/>
        </w:rPr>
      </w:pPr>
      <w:r>
        <w:rPr>
          <w:rFonts w:ascii="Arial"/>
          <w:color w:val="231F20"/>
          <w:sz w:val="19"/>
        </w:rPr>
        <w:t>Learn about the new regulations and how employers should respond to employees with prescriptions for marijuana. The do's and don'ts for companies will be discussed, as well as the rights employees who take medical marijuana have under federal and state laws.</w:t>
      </w:r>
    </w:p>
    <w:p>
      <w:pPr>
        <w:spacing w:before="45"/>
        <w:ind w:left="480" w:right="1555" w:firstLine="0"/>
        <w:jc w:val="both"/>
        <w:rPr>
          <w:rFonts w:ascii="Arial"/>
          <w:i/>
          <w:sz w:val="19"/>
        </w:rPr>
      </w:pPr>
      <w:r>
        <w:rPr>
          <w:rFonts w:ascii="Arial"/>
          <w:i/>
          <w:color w:val="231F20"/>
          <w:sz w:val="19"/>
        </w:rPr>
        <w:t>Richard Blau, Gray Robinson, Tampa, FL </w:t>
      </w:r>
      <w:r>
        <w:rPr>
          <w:rFonts w:ascii="Arial"/>
          <w:i/>
          <w:color w:val="231F20"/>
          <w:sz w:val="19"/>
        </w:rPr>
        <w:t>Marlene Quintana, Gray Robinson, Miami, FL</w:t>
      </w:r>
    </w:p>
    <w:p>
      <w:pPr>
        <w:pStyle w:val="BodyText"/>
        <w:spacing w:before="7"/>
        <w:rPr>
          <w:rFonts w:ascii="Arial"/>
          <w:i/>
          <w:sz w:val="21"/>
        </w:rPr>
      </w:pPr>
    </w:p>
    <w:p>
      <w:pPr>
        <w:spacing w:before="1"/>
        <w:ind w:left="479" w:right="0" w:firstLine="0"/>
        <w:jc w:val="center"/>
        <w:rPr>
          <w:rFonts w:ascii="Arial"/>
          <w:b/>
          <w:sz w:val="24"/>
        </w:rPr>
      </w:pPr>
      <w:hyperlink r:id="rId36">
        <w:r>
          <w:rPr>
            <w:rFonts w:ascii="Arial"/>
            <w:b/>
            <w:color w:val="231F20"/>
            <w:sz w:val="24"/>
            <w:u w:val="single" w:color="231F20"/>
          </w:rPr>
          <w:t>February 6, 2019</w:t>
        </w:r>
      </w:hyperlink>
    </w:p>
    <w:p>
      <w:pPr>
        <w:spacing w:before="47"/>
        <w:ind w:left="2129" w:right="0" w:firstLine="0"/>
        <w:jc w:val="left"/>
        <w:rPr>
          <w:rFonts w:ascii="Arial" w:hAnsi="Arial"/>
          <w:sz w:val="20"/>
        </w:rPr>
      </w:pPr>
      <w:hyperlink r:id="rId36">
        <w:r>
          <w:rPr>
            <w:rFonts w:ascii="Arial" w:hAnsi="Arial"/>
            <w:color w:val="231F20"/>
            <w:sz w:val="20"/>
          </w:rPr>
          <w:t>12:00 noon – 12:50 p.m.</w:t>
        </w:r>
      </w:hyperlink>
    </w:p>
    <w:p>
      <w:pPr>
        <w:pStyle w:val="Heading6"/>
        <w:spacing w:line="247" w:lineRule="auto" w:before="58"/>
        <w:ind w:left="822" w:right="340"/>
      </w:pPr>
      <w:hyperlink r:id="rId36">
        <w:r>
          <w:rPr>
            <w:color w:val="40AD49"/>
          </w:rPr>
          <w:t>FLSA Ethical Conundrums: Good Faith Defense Versus Lawyer as Witness and Sanctionable (Mis)Conduct (3113)</w:t>
        </w:r>
      </w:hyperlink>
    </w:p>
    <w:p>
      <w:pPr>
        <w:spacing w:before="24"/>
        <w:ind w:left="480" w:right="0" w:firstLine="0"/>
        <w:jc w:val="both"/>
        <w:rPr>
          <w:rFonts w:ascii="Arial"/>
          <w:sz w:val="19"/>
        </w:rPr>
      </w:pPr>
      <w:hyperlink r:id="rId36">
        <w:r>
          <w:rPr>
            <w:rFonts w:ascii="Arial"/>
            <w:color w:val="231F20"/>
            <w:sz w:val="19"/>
          </w:rPr>
          <w:t>Learn how to tell ethical issues from zealous advocacy and how to curtail unethical behavior.</w:t>
        </w:r>
      </w:hyperlink>
    </w:p>
    <w:p>
      <w:pPr>
        <w:spacing w:before="42"/>
        <w:ind w:left="660" w:right="940" w:hanging="181"/>
        <w:jc w:val="left"/>
        <w:rPr>
          <w:rFonts w:ascii="Arial"/>
          <w:i/>
          <w:sz w:val="19"/>
        </w:rPr>
      </w:pPr>
      <w:hyperlink r:id="rId36">
        <w:r>
          <w:rPr>
            <w:rFonts w:ascii="Arial"/>
            <w:i/>
            <w:color w:val="231F20"/>
            <w:sz w:val="19"/>
          </w:rPr>
          <w:t>Leslie W. Langbein, Langbein &amp; Langbein, P.A., </w:t>
        </w:r>
        <w:r>
          <w:rPr>
            <w:rFonts w:ascii="Arial"/>
            <w:i/>
            <w:color w:val="231F20"/>
            <w:sz w:val="19"/>
          </w:rPr>
          <w:t>Miami Lakes, FL</w:t>
        </w:r>
      </w:hyperlink>
    </w:p>
    <w:p>
      <w:pPr>
        <w:pStyle w:val="BodyText"/>
        <w:spacing w:before="7"/>
        <w:rPr>
          <w:rFonts w:ascii="Arial"/>
          <w:i/>
          <w:sz w:val="21"/>
        </w:rPr>
      </w:pPr>
    </w:p>
    <w:p>
      <w:pPr>
        <w:spacing w:before="0"/>
        <w:ind w:left="479" w:right="0" w:firstLine="0"/>
        <w:jc w:val="center"/>
        <w:rPr>
          <w:rFonts w:ascii="Arial"/>
          <w:b/>
          <w:sz w:val="24"/>
        </w:rPr>
      </w:pPr>
      <w:hyperlink r:id="rId37">
        <w:r>
          <w:rPr>
            <w:rFonts w:ascii="Arial"/>
            <w:b/>
            <w:color w:val="231F20"/>
            <w:sz w:val="24"/>
            <w:u w:val="single" w:color="231F20"/>
          </w:rPr>
          <w:t>March 6, 2019</w:t>
        </w:r>
      </w:hyperlink>
    </w:p>
    <w:p>
      <w:pPr>
        <w:spacing w:before="47"/>
        <w:ind w:left="2129" w:right="0" w:firstLine="0"/>
        <w:jc w:val="left"/>
        <w:rPr>
          <w:rFonts w:ascii="Arial" w:hAnsi="Arial"/>
          <w:sz w:val="20"/>
        </w:rPr>
      </w:pPr>
      <w:hyperlink r:id="rId37">
        <w:r>
          <w:rPr>
            <w:rFonts w:ascii="Arial" w:hAnsi="Arial"/>
            <w:color w:val="231F20"/>
            <w:sz w:val="20"/>
          </w:rPr>
          <w:t>12:00 noon – 12:50 p.m.</w:t>
        </w:r>
      </w:hyperlink>
    </w:p>
    <w:p>
      <w:pPr>
        <w:pStyle w:val="Heading6"/>
        <w:spacing w:before="58"/>
        <w:ind w:left="479"/>
      </w:pPr>
      <w:hyperlink r:id="rId37">
        <w:r>
          <w:rPr>
            <w:color w:val="40AD49"/>
          </w:rPr>
          <w:t>Sexual Harassment Issues in the #MeToo Era:</w:t>
        </w:r>
      </w:hyperlink>
    </w:p>
    <w:p>
      <w:pPr>
        <w:spacing w:line="247" w:lineRule="auto" w:before="10"/>
        <w:ind w:left="822" w:right="341" w:firstLine="0"/>
        <w:jc w:val="center"/>
        <w:rPr>
          <w:rFonts w:ascii="Arial"/>
          <w:b/>
          <w:sz w:val="24"/>
        </w:rPr>
      </w:pPr>
      <w:hyperlink r:id="rId37">
        <w:r>
          <w:rPr>
            <w:rFonts w:ascii="Arial"/>
            <w:b/>
            <w:color w:val="40AD49"/>
            <w:sz w:val="24"/>
          </w:rPr>
          <w:t>What Has Changed and What Has Stayed the Same (2887)</w:t>
        </w:r>
      </w:hyperlink>
    </w:p>
    <w:p>
      <w:pPr>
        <w:spacing w:before="23"/>
        <w:ind w:left="480" w:right="0" w:firstLine="0"/>
        <w:jc w:val="both"/>
        <w:rPr>
          <w:rFonts w:ascii="Arial"/>
          <w:sz w:val="19"/>
        </w:rPr>
      </w:pPr>
      <w:hyperlink r:id="rId37">
        <w:r>
          <w:rPr>
            <w:rFonts w:ascii="Arial"/>
            <w:color w:val="231F20"/>
            <w:sz w:val="19"/>
          </w:rPr>
          <w:t>This webcast will cover best practices for preventing </w:t>
        </w:r>
        <w:r>
          <w:rPr>
            <w:rFonts w:ascii="Arial"/>
            <w:color w:val="231F20"/>
            <w:spacing w:val="-6"/>
            <w:sz w:val="19"/>
          </w:rPr>
          <w:t>and </w:t>
        </w:r>
        <w:r>
          <w:rPr>
            <w:rFonts w:ascii="Arial"/>
            <w:color w:val="231F20"/>
            <w:sz w:val="19"/>
          </w:rPr>
          <w:t>addressing harassment; policies; the law regarding </w:t>
        </w:r>
        <w:r>
          <w:rPr>
            <w:rFonts w:ascii="Arial"/>
            <w:color w:val="231F20"/>
            <w:spacing w:val="-3"/>
            <w:sz w:val="19"/>
          </w:rPr>
          <w:t>sexual </w:t>
        </w:r>
        <w:r>
          <w:rPr>
            <w:rFonts w:ascii="Arial"/>
            <w:color w:val="231F20"/>
            <w:sz w:val="19"/>
          </w:rPr>
          <w:t>favoritism (Can the boss promote  his  or  her  partner  </w:t>
        </w:r>
        <w:r>
          <w:rPr>
            <w:rFonts w:ascii="Arial"/>
            <w:color w:val="231F20"/>
            <w:spacing w:val="-4"/>
            <w:sz w:val="19"/>
          </w:rPr>
          <w:t>over  </w:t>
        </w:r>
        <w:r>
          <w:rPr>
            <w:rFonts w:ascii="Arial"/>
            <w:color w:val="231F20"/>
            <w:sz w:val="19"/>
          </w:rPr>
          <w:t>more qualified candidates?); monitoring digital platforms </w:t>
        </w:r>
        <w:r>
          <w:rPr>
            <w:rFonts w:ascii="Arial"/>
            <w:color w:val="231F20"/>
            <w:spacing w:val="-7"/>
            <w:sz w:val="19"/>
          </w:rPr>
          <w:t>for </w:t>
        </w:r>
        <w:r>
          <w:rPr>
            <w:rFonts w:ascii="Arial"/>
            <w:color w:val="231F20"/>
            <w:sz w:val="19"/>
          </w:rPr>
          <w:t>harassment; the interplay between harassment and  </w:t>
        </w:r>
        <w:r>
          <w:rPr>
            <w:rFonts w:ascii="Arial"/>
            <w:color w:val="231F20"/>
            <w:spacing w:val="-3"/>
            <w:sz w:val="19"/>
          </w:rPr>
          <w:t>common </w:t>
        </w:r>
        <w:r>
          <w:rPr>
            <w:rFonts w:ascii="Arial"/>
            <w:color w:val="231F20"/>
            <w:sz w:val="19"/>
          </w:rPr>
          <w:t>law torts, such as negligent hiring/supervision/retention;  </w:t>
        </w:r>
        <w:r>
          <w:rPr>
            <w:rFonts w:ascii="Arial"/>
            <w:color w:val="231F20"/>
            <w:spacing w:val="-7"/>
            <w:sz w:val="19"/>
          </w:rPr>
          <w:t>and</w:t>
        </w:r>
        <w:r>
          <w:rPr>
            <w:rFonts w:ascii="Arial"/>
            <w:color w:val="231F20"/>
            <w:spacing w:val="38"/>
            <w:sz w:val="19"/>
          </w:rPr>
          <w:t> </w:t>
        </w:r>
        <w:r>
          <w:rPr>
            <w:rFonts w:ascii="Arial"/>
            <w:color w:val="231F20"/>
            <w:sz w:val="19"/>
          </w:rPr>
          <w:t>how the changes in the tax code and NDAs have affected </w:t>
        </w:r>
        <w:r>
          <w:rPr>
            <w:rFonts w:ascii="Arial"/>
            <w:color w:val="231F20"/>
            <w:spacing w:val="-3"/>
            <w:sz w:val="19"/>
          </w:rPr>
          <w:t>these </w:t>
        </w:r>
        <w:r>
          <w:rPr>
            <w:rFonts w:ascii="Arial"/>
            <w:color w:val="231F20"/>
            <w:sz w:val="19"/>
          </w:rPr>
          <w:t>claims and how to deal with</w:t>
        </w:r>
        <w:r>
          <w:rPr>
            <w:rFonts w:ascii="Arial"/>
            <w:color w:val="231F20"/>
            <w:spacing w:val="12"/>
            <w:sz w:val="19"/>
          </w:rPr>
          <w:t> </w:t>
        </w:r>
        <w:r>
          <w:rPr>
            <w:rFonts w:ascii="Arial"/>
            <w:color w:val="231F20"/>
            <w:sz w:val="19"/>
          </w:rPr>
          <w:t>claims.</w:t>
        </w:r>
      </w:hyperlink>
    </w:p>
    <w:p>
      <w:pPr>
        <w:spacing w:before="48"/>
        <w:ind w:left="480" w:right="0" w:firstLine="0"/>
        <w:jc w:val="both"/>
        <w:rPr>
          <w:rFonts w:ascii="Arial"/>
          <w:i/>
          <w:sz w:val="19"/>
        </w:rPr>
      </w:pPr>
      <w:hyperlink r:id="rId37">
        <w:r>
          <w:rPr>
            <w:rFonts w:ascii="Arial"/>
            <w:i/>
            <w:color w:val="231F20"/>
            <w:sz w:val="19"/>
          </w:rPr>
          <w:t>Zascha Blanco Abbott, Liebler, Gonzalez &amp; Portuondo,</w:t>
        </w:r>
        <w:r>
          <w:rPr>
            <w:rFonts w:ascii="Arial"/>
            <w:i/>
            <w:color w:val="231F20"/>
            <w:spacing w:val="52"/>
            <w:sz w:val="19"/>
          </w:rPr>
          <w:t> </w:t>
        </w:r>
        <w:r>
          <w:rPr>
            <w:rFonts w:ascii="Arial"/>
            <w:i/>
            <w:color w:val="231F20"/>
            <w:sz w:val="19"/>
          </w:rPr>
          <w:t>Miami</w:t>
        </w:r>
      </w:hyperlink>
    </w:p>
    <w:p>
      <w:pPr>
        <w:spacing w:before="106"/>
        <w:ind w:left="782" w:right="940" w:firstLine="0"/>
        <w:jc w:val="center"/>
        <w:rPr>
          <w:rFonts w:ascii="Arial"/>
          <w:b/>
          <w:sz w:val="24"/>
        </w:rPr>
      </w:pPr>
      <w:r>
        <w:rPr/>
        <w:br w:type="column"/>
      </w:r>
      <w:hyperlink r:id="rId38">
        <w:r>
          <w:rPr>
            <w:rFonts w:ascii="Arial"/>
            <w:b/>
            <w:color w:val="231F20"/>
            <w:sz w:val="24"/>
            <w:u w:val="single" w:color="231F20"/>
          </w:rPr>
          <w:t>March 27, 2019</w:t>
        </w:r>
      </w:hyperlink>
    </w:p>
    <w:p>
      <w:pPr>
        <w:spacing w:before="42"/>
        <w:ind w:left="782" w:right="940" w:firstLine="0"/>
        <w:jc w:val="center"/>
        <w:rPr>
          <w:rFonts w:ascii="Arial" w:hAnsi="Arial"/>
          <w:sz w:val="20"/>
        </w:rPr>
      </w:pPr>
      <w:hyperlink r:id="rId38">
        <w:r>
          <w:rPr>
            <w:rFonts w:ascii="Arial" w:hAnsi="Arial"/>
            <w:color w:val="231F20"/>
            <w:sz w:val="20"/>
          </w:rPr>
          <w:t>12:00 noon – 1:50 p.m.</w:t>
        </w:r>
      </w:hyperlink>
    </w:p>
    <w:p>
      <w:pPr>
        <w:pStyle w:val="Heading6"/>
        <w:spacing w:line="242" w:lineRule="auto" w:before="52"/>
        <w:ind w:left="782" w:right="940"/>
      </w:pPr>
      <w:hyperlink r:id="rId38">
        <w:r>
          <w:rPr>
            <w:color w:val="40AD49"/>
          </w:rPr>
          <w:t>Be in the Know: Highlights of Executive Compensation for Employment Agreements (2885) and</w:t>
        </w:r>
      </w:hyperlink>
    </w:p>
    <w:p>
      <w:pPr>
        <w:spacing w:line="240" w:lineRule="auto" w:before="4"/>
        <w:ind w:left="319" w:right="488" w:firstLine="84"/>
        <w:jc w:val="left"/>
        <w:rPr>
          <w:rFonts w:ascii="Arial"/>
          <w:sz w:val="19"/>
        </w:rPr>
      </w:pPr>
      <w:hyperlink r:id="rId38">
        <w:r>
          <w:rPr>
            <w:rFonts w:ascii="Arial"/>
            <w:b/>
            <w:color w:val="40AD49"/>
            <w:spacing w:val="-6"/>
            <w:sz w:val="24"/>
          </w:rPr>
          <w:t>Tax </w:t>
        </w:r>
        <w:r>
          <w:rPr>
            <w:rFonts w:ascii="Arial"/>
            <w:b/>
            <w:color w:val="40AD49"/>
            <w:sz w:val="24"/>
          </w:rPr>
          <w:t>Considerations in Employment Law (2996) </w:t>
        </w:r>
        <w:r>
          <w:rPr>
            <w:rFonts w:ascii="Arial"/>
            <w:color w:val="231F20"/>
            <w:sz w:val="19"/>
          </w:rPr>
          <w:t>This presentation will cover appropriate contract provisions </w:t>
        </w:r>
        <w:r>
          <w:rPr>
            <w:rFonts w:ascii="Arial"/>
            <w:color w:val="231F20"/>
            <w:spacing w:val="-6"/>
            <w:sz w:val="19"/>
          </w:rPr>
          <w:t>to </w:t>
        </w:r>
        <w:r>
          <w:rPr>
            <w:rFonts w:ascii="Arial"/>
            <w:color w:val="231F20"/>
            <w:sz w:val="19"/>
          </w:rPr>
          <w:t>consider</w:t>
        </w:r>
        <w:r>
          <w:rPr>
            <w:rFonts w:ascii="Arial"/>
            <w:color w:val="231F20"/>
            <w:spacing w:val="-14"/>
            <w:sz w:val="19"/>
          </w:rPr>
          <w:t> </w:t>
        </w:r>
        <w:r>
          <w:rPr>
            <w:rFonts w:ascii="Arial"/>
            <w:color w:val="231F20"/>
            <w:sz w:val="19"/>
          </w:rPr>
          <w:t>in</w:t>
        </w:r>
        <w:r>
          <w:rPr>
            <w:rFonts w:ascii="Arial"/>
            <w:color w:val="231F20"/>
            <w:spacing w:val="-13"/>
            <w:sz w:val="19"/>
          </w:rPr>
          <w:t> </w:t>
        </w:r>
        <w:r>
          <w:rPr>
            <w:rFonts w:ascii="Arial"/>
            <w:color w:val="231F20"/>
            <w:sz w:val="19"/>
          </w:rPr>
          <w:t>drafting</w:t>
        </w:r>
        <w:r>
          <w:rPr>
            <w:rFonts w:ascii="Arial"/>
            <w:color w:val="231F20"/>
            <w:spacing w:val="-14"/>
            <w:sz w:val="19"/>
          </w:rPr>
          <w:t> </w:t>
        </w:r>
        <w:r>
          <w:rPr>
            <w:rFonts w:ascii="Arial"/>
            <w:color w:val="231F20"/>
            <w:sz w:val="19"/>
          </w:rPr>
          <w:t>executive</w:t>
        </w:r>
        <w:r>
          <w:rPr>
            <w:rFonts w:ascii="Arial"/>
            <w:color w:val="231F20"/>
            <w:spacing w:val="-13"/>
            <w:sz w:val="19"/>
          </w:rPr>
          <w:t> </w:t>
        </w:r>
        <w:r>
          <w:rPr>
            <w:rFonts w:ascii="Arial"/>
            <w:color w:val="231F20"/>
            <w:sz w:val="19"/>
          </w:rPr>
          <w:t>employment</w:t>
        </w:r>
        <w:r>
          <w:rPr>
            <w:rFonts w:ascii="Arial"/>
            <w:color w:val="231F20"/>
            <w:spacing w:val="-13"/>
            <w:sz w:val="19"/>
          </w:rPr>
          <w:t> </w:t>
        </w:r>
        <w:r>
          <w:rPr>
            <w:rFonts w:ascii="Arial"/>
            <w:color w:val="231F20"/>
            <w:sz w:val="19"/>
          </w:rPr>
          <w:t>agreements;</w:t>
        </w:r>
        <w:r>
          <w:rPr>
            <w:rFonts w:ascii="Arial"/>
            <w:color w:val="231F20"/>
            <w:spacing w:val="-14"/>
            <w:sz w:val="19"/>
          </w:rPr>
          <w:t> </w:t>
        </w:r>
        <w:r>
          <w:rPr>
            <w:rFonts w:ascii="Arial"/>
            <w:color w:val="231F20"/>
            <w:sz w:val="19"/>
          </w:rPr>
          <w:t>executive clawbacks; the new Section 83(i); and the impact of tax </w:t>
        </w:r>
        <w:r>
          <w:rPr>
            <w:rFonts w:ascii="Arial"/>
            <w:color w:val="231F20"/>
            <w:spacing w:val="-3"/>
            <w:sz w:val="19"/>
          </w:rPr>
          <w:t>reform </w:t>
        </w:r>
        <w:r>
          <w:rPr>
            <w:rFonts w:ascii="Arial"/>
            <w:color w:val="231F20"/>
            <w:sz w:val="19"/>
          </w:rPr>
          <w:t>on designing competitive compensation packages, and </w:t>
        </w:r>
        <w:r>
          <w:rPr>
            <w:rFonts w:ascii="Arial"/>
            <w:color w:val="231F20"/>
            <w:spacing w:val="-3"/>
            <w:sz w:val="19"/>
          </w:rPr>
          <w:t>advise </w:t>
        </w:r>
        <w:r>
          <w:rPr>
            <w:rFonts w:ascii="Arial"/>
            <w:color w:val="231F20"/>
            <w:sz w:val="19"/>
          </w:rPr>
          <w:t>employment lawyers what they need to know about</w:t>
        </w:r>
        <w:r>
          <w:rPr>
            <w:rFonts w:ascii="Arial"/>
            <w:color w:val="231F20"/>
            <w:spacing w:val="44"/>
            <w:sz w:val="19"/>
          </w:rPr>
          <w:t> </w:t>
        </w:r>
        <w:r>
          <w:rPr>
            <w:rFonts w:ascii="Arial"/>
            <w:color w:val="231F20"/>
            <w:sz w:val="19"/>
          </w:rPr>
          <w:t>taxation</w:t>
        </w:r>
      </w:hyperlink>
    </w:p>
    <w:p>
      <w:pPr>
        <w:spacing w:line="235" w:lineRule="auto" w:before="6"/>
        <w:ind w:left="319" w:right="477" w:firstLine="0"/>
        <w:jc w:val="both"/>
        <w:rPr>
          <w:rFonts w:ascii="Arial"/>
          <w:sz w:val="19"/>
        </w:rPr>
      </w:pPr>
      <w:hyperlink r:id="rId38">
        <w:r>
          <w:rPr>
            <w:rFonts w:ascii="Arial"/>
            <w:color w:val="231F20"/>
            <w:sz w:val="19"/>
          </w:rPr>
          <w:t>issues in drafting employment, contracts, using independent contractors, advising their clients about employment-related matters.</w:t>
        </w:r>
      </w:hyperlink>
    </w:p>
    <w:p>
      <w:pPr>
        <w:spacing w:before="36"/>
        <w:ind w:left="319" w:right="0" w:firstLine="0"/>
        <w:jc w:val="both"/>
        <w:rPr>
          <w:rFonts w:ascii="Arial"/>
          <w:i/>
          <w:sz w:val="19"/>
        </w:rPr>
      </w:pPr>
      <w:hyperlink r:id="rId38">
        <w:r>
          <w:rPr>
            <w:rFonts w:ascii="Arial"/>
            <w:i/>
            <w:color w:val="231F20"/>
            <w:sz w:val="19"/>
          </w:rPr>
          <w:t>Thomas Hickey, Gunster, West Palm Beach, FL</w:t>
        </w:r>
      </w:hyperlink>
    </w:p>
    <w:p>
      <w:pPr>
        <w:pStyle w:val="BodyText"/>
        <w:spacing w:before="7"/>
        <w:rPr>
          <w:rFonts w:ascii="Arial"/>
          <w:i/>
          <w:sz w:val="20"/>
        </w:rPr>
      </w:pPr>
    </w:p>
    <w:p>
      <w:pPr>
        <w:spacing w:before="0"/>
        <w:ind w:left="782" w:right="940" w:firstLine="0"/>
        <w:jc w:val="center"/>
        <w:rPr>
          <w:rFonts w:ascii="Arial"/>
          <w:b/>
          <w:sz w:val="24"/>
        </w:rPr>
      </w:pPr>
      <w:hyperlink r:id="rId39">
        <w:r>
          <w:rPr>
            <w:rFonts w:ascii="Arial"/>
            <w:b/>
            <w:color w:val="231F20"/>
            <w:sz w:val="24"/>
            <w:u w:val="single" w:color="231F20"/>
          </w:rPr>
          <w:t>April 3, 2019</w:t>
        </w:r>
      </w:hyperlink>
    </w:p>
    <w:p>
      <w:pPr>
        <w:spacing w:before="41"/>
        <w:ind w:left="782" w:right="940" w:firstLine="0"/>
        <w:jc w:val="center"/>
        <w:rPr>
          <w:rFonts w:ascii="Arial" w:hAnsi="Arial"/>
          <w:sz w:val="20"/>
        </w:rPr>
      </w:pPr>
      <w:hyperlink r:id="rId39">
        <w:r>
          <w:rPr>
            <w:rFonts w:ascii="Arial" w:hAnsi="Arial"/>
            <w:color w:val="231F20"/>
            <w:sz w:val="20"/>
          </w:rPr>
          <w:t>12:00 noon – 12:50 p.m.</w:t>
        </w:r>
      </w:hyperlink>
    </w:p>
    <w:p>
      <w:pPr>
        <w:pStyle w:val="Heading6"/>
        <w:spacing w:line="242" w:lineRule="auto" w:before="53"/>
        <w:ind w:left="781" w:right="940"/>
      </w:pPr>
      <w:hyperlink r:id="rId39">
        <w:r>
          <w:rPr>
            <w:color w:val="40AD49"/>
          </w:rPr>
          <w:t>ADA Title III Cases: New Tactics and Strategies (3150)</w:t>
        </w:r>
      </w:hyperlink>
    </w:p>
    <w:p>
      <w:pPr>
        <w:spacing w:line="200" w:lineRule="exact" w:before="0"/>
        <w:ind w:left="319" w:right="0" w:firstLine="0"/>
        <w:jc w:val="left"/>
        <w:rPr>
          <w:rFonts w:ascii="Arial"/>
          <w:sz w:val="19"/>
        </w:rPr>
      </w:pPr>
      <w:hyperlink r:id="rId39">
        <w:r>
          <w:rPr>
            <w:rFonts w:ascii="Arial"/>
            <w:color w:val="231F20"/>
            <w:sz w:val="19"/>
          </w:rPr>
          <w:t>Hear about current developments in the Title III arena and learn</w:t>
        </w:r>
      </w:hyperlink>
    </w:p>
    <w:p>
      <w:pPr>
        <w:spacing w:line="216" w:lineRule="exact" w:before="0"/>
        <w:ind w:left="319" w:right="0" w:firstLine="0"/>
        <w:jc w:val="left"/>
        <w:rPr>
          <w:rFonts w:ascii="Arial"/>
          <w:sz w:val="19"/>
        </w:rPr>
      </w:pPr>
      <w:hyperlink r:id="rId39">
        <w:r>
          <w:rPr>
            <w:rFonts w:ascii="Arial"/>
            <w:color w:val="231F20"/>
            <w:sz w:val="19"/>
          </w:rPr>
          <w:t>new approaches to old problems.</w:t>
        </w:r>
      </w:hyperlink>
    </w:p>
    <w:p>
      <w:pPr>
        <w:spacing w:line="256" w:lineRule="auto" w:before="35"/>
        <w:ind w:left="319" w:right="373" w:firstLine="0"/>
        <w:jc w:val="left"/>
        <w:rPr>
          <w:rFonts w:ascii="Arial"/>
          <w:i/>
          <w:sz w:val="19"/>
        </w:rPr>
      </w:pPr>
      <w:hyperlink r:id="rId39">
        <w:r>
          <w:rPr>
            <w:rFonts w:ascii="Arial"/>
            <w:i/>
            <w:color w:val="231F20"/>
            <w:sz w:val="19"/>
          </w:rPr>
          <w:t>Cathleen A. Scott, Scott Wagner &amp; Associates, P.A., Jupiter </w:t>
        </w:r>
        <w:r>
          <w:rPr>
            <w:rFonts w:ascii="Arial"/>
            <w:i/>
            <w:color w:val="231F20"/>
            <w:sz w:val="19"/>
          </w:rPr>
          <w:t>Allison B. Duffie, Scott Wagner &amp; Associates, P.A., Jupiter</w:t>
        </w:r>
      </w:hyperlink>
    </w:p>
    <w:p>
      <w:pPr>
        <w:pStyle w:val="BodyText"/>
        <w:spacing w:before="3"/>
        <w:rPr>
          <w:rFonts w:ascii="Arial"/>
          <w:i/>
          <w:sz w:val="19"/>
        </w:rPr>
      </w:pPr>
    </w:p>
    <w:p>
      <w:pPr>
        <w:spacing w:before="0"/>
        <w:ind w:left="782" w:right="940" w:firstLine="0"/>
        <w:jc w:val="center"/>
        <w:rPr>
          <w:rFonts w:ascii="Arial"/>
          <w:b/>
          <w:sz w:val="24"/>
        </w:rPr>
      </w:pPr>
      <w:hyperlink r:id="rId40">
        <w:r>
          <w:rPr>
            <w:rFonts w:ascii="Arial"/>
            <w:b/>
            <w:color w:val="231F20"/>
            <w:sz w:val="24"/>
            <w:u w:val="single" w:color="231F20"/>
          </w:rPr>
          <w:t>June 5, 2019</w:t>
        </w:r>
      </w:hyperlink>
    </w:p>
    <w:p>
      <w:pPr>
        <w:spacing w:before="42"/>
        <w:ind w:left="782" w:right="940" w:firstLine="0"/>
        <w:jc w:val="center"/>
        <w:rPr>
          <w:rFonts w:ascii="Arial" w:hAnsi="Arial"/>
          <w:sz w:val="20"/>
        </w:rPr>
      </w:pPr>
      <w:hyperlink r:id="rId40">
        <w:r>
          <w:rPr>
            <w:rFonts w:ascii="Arial" w:hAnsi="Arial"/>
            <w:color w:val="231F20"/>
            <w:sz w:val="20"/>
          </w:rPr>
          <w:t>12:00 noon – 12:50 p.m.</w:t>
        </w:r>
      </w:hyperlink>
    </w:p>
    <w:p>
      <w:pPr>
        <w:pStyle w:val="Heading6"/>
        <w:spacing w:line="242" w:lineRule="auto" w:before="52"/>
        <w:ind w:left="1102" w:right="1260"/>
      </w:pPr>
      <w:hyperlink r:id="rId40">
        <w:r>
          <w:rPr>
            <w:color w:val="40AD49"/>
          </w:rPr>
          <w:t>Update on Gender Discrimination: The New Gender Equality (2883)</w:t>
        </w:r>
      </w:hyperlink>
    </w:p>
    <w:p>
      <w:pPr>
        <w:spacing w:line="235" w:lineRule="auto" w:before="27"/>
        <w:ind w:left="319" w:right="477" w:firstLine="0"/>
        <w:jc w:val="both"/>
        <w:rPr>
          <w:rFonts w:ascii="Arial" w:hAnsi="Arial"/>
          <w:sz w:val="19"/>
        </w:rPr>
      </w:pPr>
      <w:hyperlink r:id="rId40">
        <w:r>
          <w:rPr>
            <w:rFonts w:ascii="Arial" w:hAnsi="Arial"/>
            <w:color w:val="231F20"/>
            <w:sz w:val="19"/>
          </w:rPr>
          <w:t>The discussion will include legal issues for LGBTQ+ individuals; rights and changes in how courts view  discrimination  claims and the </w:t>
        </w:r>
        <w:r>
          <w:rPr>
            <w:rFonts w:ascii="Arial" w:hAnsi="Arial"/>
            <w:color w:val="231F20"/>
            <w:spacing w:val="-6"/>
            <w:sz w:val="19"/>
          </w:rPr>
          <w:t>Tale </w:t>
        </w:r>
        <w:r>
          <w:rPr>
            <w:rFonts w:ascii="Arial" w:hAnsi="Arial"/>
            <w:color w:val="231F20"/>
            <w:sz w:val="19"/>
          </w:rPr>
          <w:t>of the Baker – the new balancing test; </w:t>
        </w:r>
        <w:r>
          <w:rPr>
            <w:rFonts w:ascii="Arial" w:hAnsi="Arial"/>
            <w:color w:val="231F20"/>
            <w:spacing w:val="-3"/>
            <w:sz w:val="19"/>
          </w:rPr>
          <w:t>Florida’s </w:t>
        </w:r>
        <w:r>
          <w:rPr>
            <w:rFonts w:ascii="Arial" w:hAnsi="Arial"/>
            <w:color w:val="231F20"/>
            <w:sz w:val="19"/>
          </w:rPr>
          <w:t>Competitive Workforce Act; and the status of local protections around the</w:t>
        </w:r>
        <w:r>
          <w:rPr>
            <w:rFonts w:ascii="Arial" w:hAnsi="Arial"/>
            <w:color w:val="231F20"/>
            <w:spacing w:val="2"/>
            <w:sz w:val="19"/>
          </w:rPr>
          <w:t> </w:t>
        </w:r>
        <w:r>
          <w:rPr>
            <w:rFonts w:ascii="Arial" w:hAnsi="Arial"/>
            <w:color w:val="231F20"/>
            <w:sz w:val="19"/>
          </w:rPr>
          <w:t>state.</w:t>
        </w:r>
      </w:hyperlink>
    </w:p>
    <w:p>
      <w:pPr>
        <w:spacing w:line="235" w:lineRule="auto" w:before="40"/>
        <w:ind w:left="499" w:right="1610" w:hanging="181"/>
        <w:jc w:val="both"/>
        <w:rPr>
          <w:rFonts w:ascii="Arial"/>
          <w:i/>
          <w:sz w:val="19"/>
        </w:rPr>
      </w:pPr>
      <w:hyperlink r:id="rId40">
        <w:r>
          <w:rPr>
            <w:rFonts w:ascii="Arial"/>
            <w:i/>
            <w:color w:val="231F20"/>
            <w:sz w:val="19"/>
          </w:rPr>
          <w:t>Lindsey Wagner, Scott Wagner &amp; Associates, P.A., </w:t>
        </w:r>
        <w:r>
          <w:rPr>
            <w:rFonts w:ascii="Arial"/>
            <w:i/>
            <w:color w:val="231F20"/>
            <w:sz w:val="19"/>
          </w:rPr>
          <w:t>Jupiter, FL and Burbank, CA</w:t>
        </w:r>
      </w:hyperlink>
    </w:p>
    <w:p>
      <w:pPr>
        <w:spacing w:line="215" w:lineRule="exact" w:before="0"/>
        <w:ind w:left="319" w:right="0" w:firstLine="0"/>
        <w:jc w:val="both"/>
        <w:rPr>
          <w:rFonts w:ascii="Arial"/>
          <w:i/>
          <w:sz w:val="19"/>
        </w:rPr>
      </w:pPr>
      <w:hyperlink r:id="rId40">
        <w:r>
          <w:rPr>
            <w:rFonts w:ascii="Arial"/>
            <w:i/>
            <w:color w:val="231F20"/>
            <w:sz w:val="19"/>
          </w:rPr>
          <w:t>Jon Harris Maurer, Equality Florida, Tallahassee</w:t>
        </w:r>
      </w:hyperlink>
    </w:p>
    <w:p>
      <w:pPr>
        <w:spacing w:after="0" w:line="215" w:lineRule="exact"/>
        <w:jc w:val="both"/>
        <w:rPr>
          <w:rFonts w:ascii="Arial"/>
          <w:sz w:val="19"/>
        </w:rPr>
        <w:sectPr>
          <w:type w:val="continuous"/>
          <w:pgSz w:w="12240" w:h="15840"/>
          <w:pgMar w:top="540" w:bottom="280" w:left="0" w:right="0"/>
          <w:cols w:num="2" w:equalWidth="0">
            <w:col w:w="5941" w:space="40"/>
            <w:col w:w="6259"/>
          </w:cols>
        </w:sectPr>
      </w:pPr>
    </w:p>
    <w:p>
      <w:pPr>
        <w:pStyle w:val="BodyText"/>
        <w:rPr>
          <w:rFonts w:ascii="Arial"/>
          <w:i/>
          <w:sz w:val="20"/>
        </w:rPr>
      </w:pPr>
    </w:p>
    <w:p>
      <w:pPr>
        <w:spacing w:after="0"/>
        <w:rPr>
          <w:rFonts w:ascii="Arial"/>
          <w:sz w:val="20"/>
        </w:rPr>
        <w:sectPr>
          <w:type w:val="continuous"/>
          <w:pgSz w:w="12240" w:h="15840"/>
          <w:pgMar w:top="540" w:bottom="280" w:left="0" w:right="0"/>
        </w:sectPr>
      </w:pPr>
    </w:p>
    <w:p>
      <w:pPr>
        <w:pStyle w:val="BodyText"/>
        <w:rPr>
          <w:rFonts w:ascii="Arial"/>
          <w:i/>
        </w:rPr>
      </w:pPr>
    </w:p>
    <w:p>
      <w:pPr>
        <w:pStyle w:val="BodyText"/>
        <w:spacing w:before="2"/>
        <w:rPr>
          <w:rFonts w:ascii="Arial"/>
          <w:i/>
          <w:sz w:val="34"/>
        </w:rPr>
      </w:pPr>
    </w:p>
    <w:p>
      <w:pPr>
        <w:spacing w:before="0"/>
        <w:ind w:left="2226" w:right="0" w:firstLine="0"/>
        <w:jc w:val="center"/>
        <w:rPr>
          <w:rFonts w:ascii="Arial"/>
          <w:b/>
          <w:sz w:val="20"/>
        </w:rPr>
      </w:pPr>
      <w:r>
        <w:rPr>
          <w:rFonts w:ascii="Arial"/>
          <w:b/>
          <w:color w:val="26337B"/>
          <w:sz w:val="20"/>
        </w:rPr>
        <w:t>CLER PROGRAM</w:t>
      </w:r>
    </w:p>
    <w:p>
      <w:pPr>
        <w:spacing w:before="50"/>
        <w:ind w:left="2226" w:right="0" w:firstLine="0"/>
        <w:jc w:val="center"/>
        <w:rPr>
          <w:rFonts w:ascii="Arial"/>
          <w:sz w:val="20"/>
        </w:rPr>
      </w:pPr>
      <w:r>
        <w:rPr>
          <w:rFonts w:ascii="Arial"/>
          <w:color w:val="26337B"/>
          <w:sz w:val="20"/>
        </w:rPr>
        <w:t>Max. Credit: 7.0 hours</w:t>
      </w:r>
    </w:p>
    <w:p>
      <w:pPr>
        <w:pStyle w:val="BodyText"/>
        <w:spacing w:before="3"/>
        <w:rPr>
          <w:rFonts w:ascii="Arial"/>
          <w:sz w:val="23"/>
        </w:rPr>
      </w:pPr>
      <w:r>
        <w:rPr/>
        <w:br w:type="column"/>
      </w:r>
      <w:r>
        <w:rPr>
          <w:rFonts w:ascii="Arial"/>
          <w:sz w:val="23"/>
        </w:rPr>
      </w:r>
    </w:p>
    <w:p>
      <w:pPr>
        <w:spacing w:before="1"/>
        <w:ind w:left="981" w:right="0" w:firstLine="0"/>
        <w:jc w:val="left"/>
        <w:rPr>
          <w:rFonts w:ascii="Arial"/>
          <w:b/>
          <w:sz w:val="22"/>
        </w:rPr>
      </w:pPr>
      <w:r>
        <w:rPr>
          <w:rFonts w:ascii="Arial"/>
          <w:b/>
          <w:color w:val="FFFFFF"/>
          <w:sz w:val="22"/>
        </w:rPr>
        <w:t>CLER PROGRAM</w:t>
      </w:r>
    </w:p>
    <w:p>
      <w:pPr>
        <w:pStyle w:val="BodyText"/>
        <w:rPr>
          <w:rFonts w:ascii="Arial"/>
          <w:b/>
        </w:rPr>
      </w:pPr>
      <w:r>
        <w:rPr/>
        <w:br w:type="column"/>
      </w:r>
      <w:r>
        <w:rPr>
          <w:rFonts w:ascii="Arial"/>
          <w:b/>
        </w:rPr>
      </w:r>
    </w:p>
    <w:p>
      <w:pPr>
        <w:pStyle w:val="BodyText"/>
        <w:spacing w:before="2"/>
        <w:rPr>
          <w:rFonts w:ascii="Arial"/>
          <w:b/>
          <w:sz w:val="34"/>
        </w:rPr>
      </w:pPr>
    </w:p>
    <w:p>
      <w:pPr>
        <w:spacing w:before="0"/>
        <w:ind w:left="624" w:right="1866" w:firstLine="0"/>
        <w:jc w:val="center"/>
        <w:rPr>
          <w:rFonts w:ascii="Arial"/>
          <w:b/>
          <w:sz w:val="20"/>
        </w:rPr>
      </w:pPr>
      <w:r>
        <w:rPr>
          <w:rFonts w:ascii="Arial"/>
          <w:b/>
          <w:color w:val="26337B"/>
          <w:sz w:val="20"/>
        </w:rPr>
        <w:t>CERTIFICATION PROGRAM</w:t>
      </w:r>
    </w:p>
    <w:p>
      <w:pPr>
        <w:spacing w:before="50"/>
        <w:ind w:left="624" w:right="1866" w:firstLine="0"/>
        <w:jc w:val="center"/>
        <w:rPr>
          <w:rFonts w:ascii="Arial"/>
          <w:sz w:val="20"/>
        </w:rPr>
      </w:pPr>
      <w:r>
        <w:rPr>
          <w:rFonts w:ascii="Arial"/>
          <w:color w:val="26337B"/>
          <w:sz w:val="20"/>
        </w:rPr>
        <w:t>Max. Credit: 7.0 hours</w:t>
      </w:r>
    </w:p>
    <w:p>
      <w:pPr>
        <w:spacing w:after="0"/>
        <w:jc w:val="center"/>
        <w:rPr>
          <w:rFonts w:ascii="Arial"/>
          <w:sz w:val="20"/>
        </w:rPr>
        <w:sectPr>
          <w:type w:val="continuous"/>
          <w:pgSz w:w="12240" w:h="15840"/>
          <w:pgMar w:top="540" w:bottom="280" w:left="0" w:right="0"/>
          <w:cols w:num="3" w:equalWidth="0">
            <w:col w:w="4194" w:space="40"/>
            <w:col w:w="2791" w:space="39"/>
            <w:col w:w="5176"/>
          </w:cols>
        </w:sectPr>
      </w:pPr>
    </w:p>
    <w:p>
      <w:pPr>
        <w:spacing w:line="249" w:lineRule="auto" w:before="50"/>
        <w:ind w:left="1266" w:right="-19" w:hanging="319"/>
        <w:jc w:val="left"/>
        <w:rPr>
          <w:rFonts w:ascii="Arial"/>
          <w:sz w:val="20"/>
        </w:rPr>
      </w:pPr>
      <w:r>
        <w:rPr>
          <w:rFonts w:ascii="Arial"/>
          <w:color w:val="26337B"/>
          <w:sz w:val="20"/>
        </w:rPr>
        <w:t>General: 7.0 hours for series; 1.0 hour per program Ethics: 1.0 hour for series; 1.0 hour for 3113</w:t>
      </w:r>
    </w:p>
    <w:p>
      <w:pPr>
        <w:spacing w:line="249" w:lineRule="auto" w:before="50"/>
        <w:ind w:left="1472" w:right="476" w:hanging="667"/>
        <w:jc w:val="left"/>
        <w:rPr>
          <w:rFonts w:ascii="Arial"/>
          <w:sz w:val="20"/>
        </w:rPr>
      </w:pPr>
      <w:r>
        <w:rPr/>
        <w:br w:type="column"/>
      </w:r>
      <w:r>
        <w:rPr>
          <w:rFonts w:ascii="Arial"/>
          <w:color w:val="26337B"/>
          <w:sz w:val="20"/>
        </w:rPr>
        <w:t>Labor and Employment Law: 7.0 hours; 1.0 hour per program Tax Law: 1.0 hour for series: 1.0 hour for 2886</w:t>
      </w:r>
    </w:p>
    <w:p>
      <w:pPr>
        <w:spacing w:after="0" w:line="249" w:lineRule="auto"/>
        <w:jc w:val="left"/>
        <w:rPr>
          <w:rFonts w:ascii="Arial"/>
          <w:sz w:val="20"/>
        </w:rPr>
        <w:sectPr>
          <w:type w:val="continuous"/>
          <w:pgSz w:w="12240" w:h="15840"/>
          <w:pgMar w:top="540" w:bottom="280" w:left="0" w:right="0"/>
          <w:cols w:num="2" w:equalWidth="0">
            <w:col w:w="5473" w:space="40"/>
            <w:col w:w="6727"/>
          </w:cols>
        </w:sectPr>
      </w:pPr>
    </w:p>
    <w:p>
      <w:pPr>
        <w:pStyle w:val="BodyText"/>
        <w:rPr>
          <w:rFonts w:ascii="Arial"/>
          <w:sz w:val="20"/>
        </w:rPr>
      </w:pPr>
    </w:p>
    <w:p>
      <w:pPr>
        <w:pStyle w:val="BodyText"/>
        <w:spacing w:before="8"/>
        <w:rPr>
          <w:rFonts w:ascii="Arial"/>
          <w:sz w:val="23"/>
        </w:rPr>
      </w:pPr>
    </w:p>
    <w:p>
      <w:pPr>
        <w:pStyle w:val="BodyText"/>
        <w:ind w:left="480"/>
        <w:rPr>
          <w:rFonts w:ascii="Arial"/>
          <w:sz w:val="20"/>
        </w:rPr>
      </w:pPr>
      <w:r>
        <w:rPr>
          <w:rFonts w:ascii="Arial"/>
          <w:sz w:val="20"/>
        </w:rPr>
        <w:pict>
          <v:shape style="width:564pt;height:30.3pt;mso-position-horizontal-relative:char;mso-position-vertical-relative:line" type="#_x0000_t202" filled="true" fillcolor="#26337b" stroked="false">
            <w10:anchorlock/>
            <v:textbox inset="0,0,0,0">
              <w:txbxContent>
                <w:p>
                  <w:pPr>
                    <w:spacing w:line="249" w:lineRule="auto" w:before="107"/>
                    <w:ind w:left="3057" w:right="307" w:hanging="2872"/>
                    <w:jc w:val="left"/>
                    <w:rPr>
                      <w:rFonts w:ascii="Arial"/>
                      <w:b/>
                      <w:sz w:val="20"/>
                    </w:rPr>
                  </w:pPr>
                  <w:r>
                    <w:rPr>
                      <w:rFonts w:ascii="Arial"/>
                      <w:b/>
                      <w:color w:val="FFFFFF"/>
                      <w:spacing w:val="-8"/>
                      <w:sz w:val="20"/>
                    </w:rPr>
                    <w:t>To</w:t>
                  </w:r>
                  <w:r>
                    <w:rPr>
                      <w:rFonts w:ascii="Arial"/>
                      <w:b/>
                      <w:color w:val="FFFFFF"/>
                      <w:spacing w:val="-11"/>
                      <w:sz w:val="20"/>
                    </w:rPr>
                    <w:t> </w:t>
                  </w:r>
                  <w:r>
                    <w:rPr>
                      <w:rFonts w:ascii="Arial"/>
                      <w:b/>
                      <w:color w:val="FFFFFF"/>
                      <w:sz w:val="20"/>
                    </w:rPr>
                    <w:t>register,</w:t>
                  </w:r>
                  <w:r>
                    <w:rPr>
                      <w:rFonts w:ascii="Arial"/>
                      <w:b/>
                      <w:color w:val="FFFFFF"/>
                      <w:spacing w:val="-11"/>
                      <w:sz w:val="20"/>
                    </w:rPr>
                    <w:t> </w:t>
                  </w:r>
                  <w:r>
                    <w:rPr>
                      <w:rFonts w:ascii="Arial"/>
                      <w:b/>
                      <w:color w:val="FFFFFF"/>
                      <w:sz w:val="20"/>
                    </w:rPr>
                    <w:t>log</w:t>
                  </w:r>
                  <w:r>
                    <w:rPr>
                      <w:rFonts w:ascii="Arial"/>
                      <w:b/>
                      <w:color w:val="FFFFFF"/>
                      <w:spacing w:val="-11"/>
                      <w:sz w:val="20"/>
                    </w:rPr>
                    <w:t> </w:t>
                  </w:r>
                  <w:r>
                    <w:rPr>
                      <w:rFonts w:ascii="Arial"/>
                      <w:b/>
                      <w:color w:val="FFFFFF"/>
                      <w:sz w:val="20"/>
                    </w:rPr>
                    <w:t>into</w:t>
                  </w:r>
                  <w:r>
                    <w:rPr>
                      <w:rFonts w:ascii="Arial"/>
                      <w:b/>
                      <w:color w:val="FFFFFF"/>
                      <w:spacing w:val="-10"/>
                      <w:sz w:val="20"/>
                    </w:rPr>
                    <w:t> </w:t>
                  </w:r>
                  <w:r>
                    <w:rPr>
                      <w:rFonts w:ascii="Arial"/>
                      <w:b/>
                      <w:color w:val="FFFFFF"/>
                      <w:sz w:val="20"/>
                    </w:rPr>
                    <w:t>The</w:t>
                  </w:r>
                  <w:r>
                    <w:rPr>
                      <w:rFonts w:ascii="Arial"/>
                      <w:b/>
                      <w:color w:val="FFFFFF"/>
                      <w:spacing w:val="-11"/>
                      <w:sz w:val="20"/>
                    </w:rPr>
                    <w:t> </w:t>
                  </w:r>
                  <w:r>
                    <w:rPr>
                      <w:rFonts w:ascii="Arial"/>
                      <w:b/>
                      <w:color w:val="FFFFFF"/>
                      <w:sz w:val="20"/>
                    </w:rPr>
                    <w:t>Florida</w:t>
                  </w:r>
                  <w:r>
                    <w:rPr>
                      <w:rFonts w:ascii="Arial"/>
                      <w:b/>
                      <w:color w:val="FFFFFF"/>
                      <w:spacing w:val="-11"/>
                      <w:sz w:val="20"/>
                    </w:rPr>
                    <w:t> </w:t>
                  </w:r>
                  <w:r>
                    <w:rPr>
                      <w:rFonts w:ascii="Arial"/>
                      <w:b/>
                      <w:color w:val="FFFFFF"/>
                      <w:sz w:val="20"/>
                    </w:rPr>
                    <w:t>Bar</w:t>
                  </w:r>
                  <w:r>
                    <w:rPr>
                      <w:rFonts w:ascii="Arial"/>
                      <w:b/>
                      <w:color w:val="FFFFFF"/>
                      <w:spacing w:val="-11"/>
                      <w:sz w:val="20"/>
                    </w:rPr>
                    <w:t> </w:t>
                  </w:r>
                  <w:r>
                    <w:rPr>
                      <w:rFonts w:ascii="Arial"/>
                      <w:b/>
                      <w:color w:val="FFFFFF"/>
                      <w:sz w:val="20"/>
                    </w:rPr>
                    <w:t>Members</w:t>
                  </w:r>
                  <w:r>
                    <w:rPr>
                      <w:rFonts w:ascii="Arial"/>
                      <w:b/>
                      <w:color w:val="FFFFFF"/>
                      <w:spacing w:val="-10"/>
                      <w:sz w:val="20"/>
                    </w:rPr>
                    <w:t> </w:t>
                  </w:r>
                  <w:r>
                    <w:rPr>
                      <w:rFonts w:ascii="Arial"/>
                      <w:b/>
                      <w:color w:val="FFFFFF"/>
                      <w:sz w:val="20"/>
                    </w:rPr>
                    <w:t>Portal</w:t>
                  </w:r>
                  <w:r>
                    <w:rPr>
                      <w:rFonts w:ascii="Arial"/>
                      <w:b/>
                      <w:color w:val="FFFFFF"/>
                      <w:spacing w:val="-11"/>
                      <w:sz w:val="20"/>
                    </w:rPr>
                    <w:t> </w:t>
                  </w:r>
                  <w:r>
                    <w:rPr>
                      <w:rFonts w:ascii="Arial"/>
                      <w:b/>
                      <w:color w:val="FFFFFF"/>
                      <w:sz w:val="20"/>
                    </w:rPr>
                    <w:t>at</w:t>
                  </w:r>
                  <w:r>
                    <w:rPr>
                      <w:rFonts w:ascii="Arial"/>
                      <w:b/>
                      <w:color w:val="FFFFFF"/>
                      <w:spacing w:val="-11"/>
                      <w:sz w:val="20"/>
                    </w:rPr>
                    <w:t> </w:t>
                  </w:r>
                  <w:hyperlink r:id="rId41">
                    <w:r>
                      <w:rPr>
                        <w:rFonts w:ascii="Arial"/>
                        <w:b/>
                        <w:color w:val="FFFFFF"/>
                        <w:sz w:val="20"/>
                      </w:rPr>
                      <w:t>www.member.floridabar.org,</w:t>
                    </w:r>
                    <w:r>
                      <w:rPr>
                        <w:rFonts w:ascii="Arial"/>
                        <w:b/>
                        <w:color w:val="FFFFFF"/>
                        <w:spacing w:val="-10"/>
                        <w:sz w:val="20"/>
                      </w:rPr>
                      <w:t> </w:t>
                    </w:r>
                  </w:hyperlink>
                  <w:r>
                    <w:rPr>
                      <w:rFonts w:ascii="Arial"/>
                      <w:b/>
                      <w:color w:val="FFFFFF"/>
                      <w:sz w:val="20"/>
                    </w:rPr>
                    <w:t>click</w:t>
                  </w:r>
                  <w:r>
                    <w:rPr>
                      <w:rFonts w:ascii="Arial"/>
                      <w:b/>
                      <w:color w:val="FFFFFF"/>
                      <w:spacing w:val="-11"/>
                      <w:sz w:val="20"/>
                    </w:rPr>
                    <w:t> </w:t>
                  </w:r>
                  <w:r>
                    <w:rPr>
                      <w:rFonts w:ascii="Arial"/>
                      <w:b/>
                      <w:color w:val="FFFFFF"/>
                      <w:sz w:val="20"/>
                    </w:rPr>
                    <w:t>CLE</w:t>
                  </w:r>
                  <w:r>
                    <w:rPr>
                      <w:rFonts w:ascii="Arial"/>
                      <w:b/>
                      <w:color w:val="FFFFFF"/>
                      <w:spacing w:val="-11"/>
                      <w:sz w:val="20"/>
                    </w:rPr>
                    <w:t> </w:t>
                  </w:r>
                  <w:r>
                    <w:rPr>
                      <w:rFonts w:ascii="Arial"/>
                      <w:b/>
                      <w:color w:val="FFFFFF"/>
                      <w:sz w:val="20"/>
                    </w:rPr>
                    <w:t>Events/Meetings</w:t>
                  </w:r>
                  <w:r>
                    <w:rPr>
                      <w:rFonts w:ascii="Arial"/>
                      <w:b/>
                      <w:color w:val="FFFFFF"/>
                      <w:spacing w:val="-11"/>
                      <w:sz w:val="20"/>
                    </w:rPr>
                    <w:t> </w:t>
                  </w:r>
                  <w:r>
                    <w:rPr>
                      <w:rFonts w:ascii="Arial"/>
                      <w:b/>
                      <w:color w:val="FFFFFF"/>
                      <w:spacing w:val="-4"/>
                      <w:sz w:val="20"/>
                    </w:rPr>
                    <w:t>and </w:t>
                  </w:r>
                  <w:r>
                    <w:rPr>
                      <w:rFonts w:ascii="Arial"/>
                      <w:b/>
                      <w:color w:val="FFFFFF"/>
                      <w:sz w:val="20"/>
                    </w:rPr>
                    <w:t>scroll to the desired course, OR click on a title</w:t>
                  </w:r>
                  <w:r>
                    <w:rPr>
                      <w:rFonts w:ascii="Arial"/>
                      <w:b/>
                      <w:color w:val="FFFFFF"/>
                      <w:spacing w:val="-18"/>
                      <w:sz w:val="20"/>
                    </w:rPr>
                    <w:t> </w:t>
                  </w:r>
                  <w:r>
                    <w:rPr>
                      <w:rFonts w:ascii="Arial"/>
                      <w:b/>
                      <w:color w:val="FFFFFF"/>
                      <w:sz w:val="20"/>
                    </w:rPr>
                    <w:t>above.</w:t>
                  </w:r>
                </w:p>
              </w:txbxContent>
            </v:textbox>
            <v:fill type="solid"/>
          </v:shape>
        </w:pict>
      </w:r>
      <w:r>
        <w:rPr>
          <w:rFonts w:ascii="Arial"/>
          <w:sz w:val="20"/>
        </w:rPr>
      </w:r>
    </w:p>
    <w:p>
      <w:pPr>
        <w:pStyle w:val="BodyText"/>
        <w:spacing w:before="11"/>
        <w:rPr>
          <w:rFonts w:ascii="Arial"/>
          <w:sz w:val="6"/>
        </w:rPr>
      </w:pPr>
    </w:p>
    <w:p>
      <w:pPr>
        <w:tabs>
          <w:tab w:pos="4395" w:val="left" w:leader="none"/>
          <w:tab w:pos="8123" w:val="left" w:leader="none"/>
        </w:tabs>
        <w:spacing w:line="152" w:lineRule="exact" w:before="95"/>
        <w:ind w:left="0" w:right="0" w:firstLine="0"/>
        <w:jc w:val="center"/>
        <w:rPr>
          <w:rFonts w:ascii="Arial"/>
          <w:sz w:val="16"/>
        </w:rPr>
      </w:pPr>
      <w:r>
        <w:rPr>
          <w:rFonts w:ascii="Arial"/>
          <w:sz w:val="16"/>
        </w:rPr>
        <w:t>Labor Agenda Winter</w:t>
      </w:r>
      <w:r>
        <w:rPr>
          <w:rFonts w:ascii="Arial"/>
          <w:spacing w:val="-6"/>
          <w:sz w:val="16"/>
        </w:rPr>
        <w:t> </w:t>
      </w:r>
      <w:r>
        <w:rPr>
          <w:rFonts w:ascii="Arial"/>
          <w:sz w:val="16"/>
        </w:rPr>
        <w:t>Meeting</w:t>
      </w:r>
      <w:r>
        <w:rPr>
          <w:rFonts w:ascii="Arial"/>
          <w:spacing w:val="-1"/>
          <w:sz w:val="16"/>
        </w:rPr>
        <w:t> </w:t>
      </w:r>
      <w:r>
        <w:rPr>
          <w:rFonts w:ascii="Arial"/>
          <w:sz w:val="16"/>
        </w:rPr>
        <w:t>2019</w:t>
        <w:tab/>
        <w:t>Exhibit I</w:t>
        <w:tab/>
        <w:t>January 17,</w:t>
      </w:r>
      <w:r>
        <w:rPr>
          <w:rFonts w:ascii="Arial"/>
          <w:spacing w:val="-1"/>
          <w:sz w:val="16"/>
        </w:rPr>
        <w:t> </w:t>
      </w:r>
      <w:r>
        <w:rPr>
          <w:rFonts w:ascii="Arial"/>
          <w:sz w:val="16"/>
        </w:rPr>
        <w:t>2019</w:t>
      </w:r>
    </w:p>
    <w:p>
      <w:pPr>
        <w:spacing w:after="0" w:line="152" w:lineRule="exact"/>
        <w:jc w:val="center"/>
        <w:rPr>
          <w:rFonts w:ascii="Arial"/>
          <w:sz w:val="16"/>
        </w:rPr>
        <w:sectPr>
          <w:type w:val="continuous"/>
          <w:pgSz w:w="12240" w:h="15840"/>
          <w:pgMar w:top="540" w:bottom="280" w:left="0" w:right="0"/>
        </w:sectPr>
      </w:pPr>
    </w:p>
    <w:p>
      <w:pPr>
        <w:pStyle w:val="BodyText"/>
        <w:rPr>
          <w:rFonts w:ascii="Arial"/>
          <w:sz w:val="20"/>
        </w:rPr>
      </w:pPr>
      <w:r>
        <w:rPr/>
        <w:pict>
          <v:rect style="position:absolute;margin-left:0pt;margin-top:0pt;width:504pt;height:672pt;mso-position-horizontal-relative:page;mso-position-vertical-relative:page;z-index:-253880320" filled="true" fillcolor="#005391" stroked="false">
            <v:fill type="solid"/>
            <w10:wrap type="none"/>
          </v:rect>
        </w:pict>
      </w:r>
      <w:r>
        <w:rPr/>
        <w:pict>
          <v:group style="position:absolute;margin-left:40.500401pt;margin-top:45pt;width:423pt;height:582pt;mso-position-horizontal-relative:page;mso-position-vertical-relative:page;z-index:-253879296" coordorigin="810,900" coordsize="8460,11640">
            <v:rect style="position:absolute;left:880;top:970;width:8320;height:11500" filled="true" fillcolor="#ffffff" stroked="false">
              <v:fill type="solid"/>
            </v:rect>
            <v:rect style="position:absolute;left:880;top:970;width:8320;height:11500" filled="false" stroked="true" strokeweight="7pt" strokecolor="#d2232a">
              <v:stroke dashstyle="solid"/>
            </v:rect>
            <v:shape style="position:absolute;left:3099;top:6261;width:506;height:674" coordorigin="3099,6261" coordsize="506,674" path="m3099,6928l3230,6920,3230,6591,3232,6591,3462,6935,3605,6902,3420,6637,3474,6611,3515,6572,3541,6522,3550,6464,3539,6389,3506,6332,3455,6292,3391,6269,3317,6261,3099,6261,3099,6928xe" filled="false" stroked="true" strokeweight="3.5pt" strokecolor="#231f20">
              <v:path arrowok="t"/>
              <v:stroke dashstyle="solid"/>
            </v:shape>
            <v:shape style="position:absolute;left:3194;top:6348;width:245;height:247" type="#_x0000_t75" stroked="false">
              <v:imagedata r:id="rId43" o:title=""/>
            </v:shape>
            <v:shape style="position:absolute;left:3692;top:6459;width:293;height:461" coordorigin="3692,6459" coordsize="293,461" path="m3956,6920l3985,6835,3784,6835,3784,6722,3927,6722,3927,6636,3784,6636,3784,6544,3963,6544,3948,6459,3692,6459,3692,6920,3956,6920xe" filled="false" stroked="true" strokeweight="3.5pt" strokecolor="#231f20">
              <v:path arrowok="t"/>
              <v:stroke dashstyle="solid"/>
            </v:shape>
            <v:shape style="position:absolute;left:4078;top:6448;width:335;height:483" coordorigin="4078,6448" coordsize="335,483" path="m4413,6802l4393,6816,4371,6828,4347,6837,4320,6840,4264,6829,4217,6797,4186,6749,4174,6690,4184,6633,4213,6585,4258,6552,4316,6539,4344,6541,4369,6548,4392,6559,4412,6572,4397,6465,4380,6458,4360,6452,4339,6449,4320,6448,4240,6461,4174,6495,4123,6547,4090,6613,4078,6690,4090,6766,4122,6832,4173,6885,4241,6919,4323,6931,4341,6930,4362,6926,4383,6921,4400,6913,4413,6802xe" filled="false" stroked="true" strokeweight="3.5pt" strokecolor="#231f20">
              <v:path arrowok="t"/>
              <v:stroke dashstyle="solid"/>
            </v:shape>
            <v:shape style="position:absolute;left:4547;top:6459;width:293;height:461" coordorigin="4548,6459" coordsize="293,461" path="m4811,6920l4840,6835,4639,6835,4639,6722,4783,6722,4783,6636,4639,6636,4639,6544,4818,6544,4803,6459,4548,6459,4548,6920,4811,6920xe" filled="false" stroked="true" strokeweight="3.5pt" strokecolor="#231f20">
              <v:path arrowok="t"/>
              <v:stroke dashstyle="solid"/>
            </v:shape>
            <v:shape style="position:absolute;left:4957;top:6459;width:290;height:467" coordorigin="4957,6459" coordsize="290,467" path="m5049,6754l5151,6745,5235,6667,5247,6604,5238,6556,5211,6509,5163,6473,5093,6459,4957,6459,4957,6925,5049,6920,5049,6754xe" filled="false" stroked="true" strokeweight="3.5pt" strokecolor="#231f20">
              <v:path arrowok="t"/>
              <v:stroke dashstyle="solid"/>
            </v:shape>
            <v:shape style="position:absolute;left:5013;top:6509;width:177;height:197" type="#_x0000_t75" stroked="false">
              <v:imagedata r:id="rId44" o:title=""/>
            </v:shape>
            <v:shape style="position:absolute;left:5317;top:6459;width:340;height:467" coordorigin="5317,6459" coordsize="340,467" path="m5317,6544l5447,6544,5447,6925,5538,6920,5538,6544,5656,6544,5656,6459,5339,6459,5317,6544xe" filled="false" stroked="true" strokeweight="3.5pt" strokecolor="#231f20">
              <v:path arrowok="t"/>
              <v:stroke dashstyle="solid"/>
            </v:shape>
            <v:shape style="position:absolute;left:5778;top:6448;width:92;height:478" coordorigin="5778,6448" coordsize="92,478" path="m5870,6920l5870,6448,5778,6459,5778,6925,5870,6920xe" filled="false" stroked="true" strokeweight="3.5pt" strokecolor="#231f20">
              <v:path arrowok="t"/>
              <v:stroke dashstyle="solid"/>
            </v:shape>
            <v:shape style="position:absolute;left:6001;top:6448;width:502;height:483" coordorigin="6001,6448" coordsize="502,483" path="m6001,6690l6014,6766,6050,6832,6104,6884,6173,6918,6252,6931,6330,6918,6399,6884,6454,6832,6489,6766,6502,6690,6489,6613,6454,6547,6399,6495,6330,6461,6252,6448,6173,6461,6104,6495,6050,6547,6014,6613,6001,6690xe" filled="false" stroked="true" strokeweight="3.5pt" strokecolor="#231f20">
              <v:path arrowok="t"/>
              <v:stroke dashstyle="solid"/>
            </v:shape>
            <v:shape style="position:absolute;left:6061;top:6503;width:381;height:372" type="#_x0000_t75" stroked="false">
              <v:imagedata r:id="rId45" o:title=""/>
            </v:shape>
            <v:shape style="position:absolute;left:6625;top:6448;width:378;height:483" coordorigin="6625,6448" coordsize="378,483" path="m6717,6920l6717,6655,7001,6931,7003,6931,7003,6448,6911,6459,6911,6727,6628,6448,6625,6448,6625,6931,6717,6920xe" filled="false" stroked="true" strokeweight="3.5pt" strokecolor="#231f20">
              <v:path arrowok="t"/>
              <v:stroke dashstyle="solid"/>
            </v:shape>
            <v:shape style="position:absolute;left:1812;top:7648;width:92;height:478" coordorigin="1813,7648" coordsize="92,478" path="m1904,8120l1904,7648,1813,7659,1813,8125,1904,8120xe" filled="false" stroked="true" strokeweight="3.5pt" strokecolor="#231f20">
              <v:path arrowok="t"/>
              <v:stroke dashstyle="solid"/>
            </v:shape>
            <v:shape style="position:absolute;left:2058;top:7648;width:378;height:483" coordorigin="2059,7648" coordsize="378,483" path="m2150,8120l2150,7855,2434,8131,2436,8131,2436,7648,2345,7659,2345,7927,2061,7648,2059,7648,2059,8131,2150,8120xe" filled="false" stroked="true" strokeweight="3.5pt" strokecolor="#231f20">
              <v:path arrowok="t"/>
              <v:stroke dashstyle="solid"/>
            </v:shape>
            <v:shape style="position:absolute;left:2910;top:7446;width:478;height:690" coordorigin="2910,7446" coordsize="478,690" path="m3388,7951l3360,7971,3329,7989,3294,8001,3256,8006,3190,7995,3133,7965,3088,7919,3058,7860,3047,7791,3057,7726,3084,7667,3127,7619,3183,7587,3250,7576,3290,7579,3326,7589,3359,7604,3387,7623,3365,7470,3341,7459,3312,7452,3283,7448,3256,7446,3183,7453,3116,7473,3057,7505,3007,7547,2966,7598,2936,7657,2917,7721,2910,7791,2917,7861,2936,7926,2966,7984,3006,8035,3057,8077,3117,8109,3184,8128,3260,8135,3286,8134,3316,8129,3345,8121,3370,8110,3388,7951xe" filled="false" stroked="true" strokeweight="3.5pt" strokecolor="#231f20">
              <v:path arrowok="t"/>
              <v:stroke dashstyle="solid"/>
            </v:shape>
            <v:shape style="position:absolute;left:3532;top:7648;width:376;height:478" coordorigin="3533,7648" coordsize="376,478" path="m3817,7839l3624,7839,3624,7648,3533,7659,3533,8125,3624,8120,3624,7924,3817,7924,3817,8125,3908,8120,3908,7648,3817,7659,3817,7839xe" filled="false" stroked="true" strokeweight="3.5pt" strokecolor="#231f20">
              <v:path arrowok="t"/>
              <v:stroke dashstyle="solid"/>
            </v:shape>
            <v:shape style="position:absolute;left:-240;top:13277;width:488;height:483" coordorigin="-239,13277" coordsize="488,483" path="m4240,7811l4295,7936,4188,7936,4240,7811xm4097,8131l4152,8014,4334,8014,4391,8131,4489,8117,4241,7648,4239,7648,4001,8117,4097,8131xe" filled="false" stroked="true" strokeweight="3.5pt" strokecolor="#231f20">
              <v:path arrowok="t"/>
              <v:stroke dashstyle="solid"/>
            </v:shape>
            <v:shape style="position:absolute;left:4588;top:7648;width:92;height:478" coordorigin="4588,7648" coordsize="92,478" path="m4680,8120l4680,7648,4588,7659,4588,8125,4680,8120xe" filled="false" stroked="true" strokeweight="3.5pt" strokecolor="#231f20">
              <v:path arrowok="t"/>
              <v:stroke dashstyle="solid"/>
            </v:shape>
            <v:shape style="position:absolute;left:4837;top:7659;width:354;height:472" coordorigin="4838,7659" coordsize="354,472" path="m4838,8125l4929,8120,4929,7889,4930,7889,5092,8131,5191,8107,5062,7922,5100,7904,5128,7876,5147,7841,5153,7801,5140,7737,5106,7693,5054,7667,4990,7659,4838,7659,4838,8125xe" filled="false" stroked="true" strokeweight="3.5pt" strokecolor="#231f20">
              <v:path arrowok="t"/>
              <v:stroke dashstyle="solid"/>
            </v:shape>
            <v:shape style="position:absolute;left:4893;top:7709;width:192;height:194" type="#_x0000_t75" stroked="false">
              <v:imagedata r:id="rId46" o:title=""/>
            </v:shape>
            <v:shape style="position:absolute;left:5243;top:7411;width:213;height:317" type="#_x0000_t75" stroked="false">
              <v:imagedata r:id="rId47" o:title=""/>
            </v:shape>
            <v:shape style="position:absolute;left:5535;top:7648;width:311;height:483" coordorigin="5536,7648" coordsize="311,483" path="m5536,8059l5568,8090,5603,8113,5643,8126,5685,8131,5748,8121,5800,8093,5834,8050,5847,7993,5831,7920,5793,7877,5743,7853,5693,7837,5655,7819,5640,7789,5645,7763,5658,7746,5678,7736,5701,7734,5721,7737,5743,7746,5764,7759,5782,7775,5839,7711,5813,7685,5780,7666,5743,7653,5706,7648,5641,7658,5590,7686,5556,7730,5544,7789,5560,7855,5598,7894,5648,7918,5698,7935,5736,7957,5751,7992,5746,8013,5733,8029,5714,8041,5690,8045,5658,8041,5634,8030,5616,8014,5599,7996,5536,8059xe" filled="false" stroked="true" strokeweight="3.5pt" strokecolor="#231f20">
              <v:path arrowok="t"/>
              <v:stroke dashstyle="solid"/>
            </v:shape>
            <v:shape style="position:absolute;left:6287;top:7446;width:444;height:690" coordorigin="6288,7446" coordsize="444,690" path="m6288,8033l6333,8077,6384,8110,6440,8129,6501,8135,6574,8126,6638,8101,6687,8060,6720,8005,6732,7939,6719,7856,6686,7800,6638,7762,6584,7738,6530,7721,6482,7704,6449,7682,6436,7648,6443,7610,6463,7585,6490,7572,6523,7568,6552,7573,6583,7586,6613,7604,6640,7628,6721,7535,6684,7499,6636,7471,6583,7453,6531,7446,6455,7455,6391,7481,6342,7522,6311,7578,6300,7648,6312,7722,6346,7773,6393,7808,6447,7831,6502,7850,6549,7870,6583,7897,6595,7938,6588,7966,6569,7991,6541,8007,6508,8013,6462,8007,6428,7992,6402,7969,6378,7942,6288,8033xe" filled="false" stroked="true" strokeweight="3.5pt" strokecolor="#231f20">
              <v:path arrowok="t"/>
              <v:stroke dashstyle="solid"/>
            </v:shape>
            <v:shape style="position:absolute;left:6865;top:7648;width:338;height:483" coordorigin="6866,7648" coordsize="338,483" path="m7112,7659l7112,7948,7109,7986,7098,8017,7075,8038,7036,8045,6994,8037,6970,8016,6960,7986,6957,7955,6957,7648,6866,7659,6866,7968,6880,8043,6918,8094,6972,8122,7032,8131,7104,8119,7158,8087,7192,8039,7204,7981,7204,7648,7112,7659xe" filled="false" stroked="true" strokeweight="3.5pt" strokecolor="#231f20">
              <v:path arrowok="t"/>
              <v:stroke dashstyle="solid"/>
            </v:shape>
            <v:shape style="position:absolute;left:7359;top:7648;width:92;height:478" coordorigin="7359,7648" coordsize="92,478" path="m7451,8120l7451,7648,7359,7659,7359,8125,7451,8120xe" filled="false" stroked="true" strokeweight="3.5pt" strokecolor="#231f20">
              <v:path arrowok="t"/>
              <v:stroke dashstyle="solid"/>
            </v:shape>
            <v:shape style="position:absolute;left:7561;top:7659;width:340;height:467" coordorigin="7561,7659" coordsize="340,467" path="m7561,7744l7691,7744,7691,8125,7782,8120,7782,7744,7901,7744,7901,7659,7584,7659,7561,7744xe" filled="false" stroked="true" strokeweight="3.5pt" strokecolor="#231f20">
              <v:path arrowok="t"/>
              <v:stroke dashstyle="solid"/>
            </v:shape>
            <v:shape style="position:absolute;left:8016;top:7659;width:293;height:461" coordorigin="8017,7659" coordsize="293,461" path="m8281,8120l8310,8035,8108,8035,8108,7922,8252,7922,8252,7836,8108,7836,8108,7744,8288,7744,8272,7659,8017,7659,8017,8120,8281,8120xe" filled="false" stroked="true" strokeweight="3.5pt" strokecolor="#231f20">
              <v:path arrowok="t"/>
              <v:stroke dashstyle="solid"/>
            </v:shape>
            <v:shape style="position:absolute;left:3304;top:1454;width:3472;height:3880" type="#_x0000_t75" stroked="false">
              <v:imagedata r:id="rId48" o:title=""/>
            </v:shape>
            <v:rect style="position:absolute;left:3304;top:1454;width:3472;height:3880" filled="false" stroked="true" strokeweight="2pt" strokecolor="#231f20">
              <v:stroke dashstyle="solid"/>
            </v:rect>
            <w10:wrap type="none"/>
          </v:group>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7"/>
        </w:rPr>
      </w:pPr>
    </w:p>
    <w:p>
      <w:pPr>
        <w:spacing w:before="99"/>
        <w:ind w:left="104" w:right="0" w:firstLine="0"/>
        <w:jc w:val="center"/>
        <w:rPr>
          <w:rFonts w:ascii="Arial"/>
          <w:sz w:val="22"/>
        </w:rPr>
      </w:pPr>
      <w:bookmarkStart w:name="12 - Exhibit J - Chair Reception-2019" w:id="32"/>
      <w:bookmarkEnd w:id="32"/>
      <w:r>
        <w:rPr/>
      </w:r>
      <w:r>
        <w:rPr>
          <w:rFonts w:ascii="Arial"/>
          <w:color w:val="231F20"/>
          <w:sz w:val="22"/>
        </w:rPr>
        <w:t>CATHLEEN SCOTT</w:t>
      </w:r>
    </w:p>
    <w:p>
      <w:pPr>
        <w:pStyle w:val="BodyText"/>
        <w:spacing w:before="3"/>
        <w:rPr>
          <w:rFonts w:ascii="Arial"/>
          <w:sz w:val="26"/>
        </w:rPr>
      </w:pPr>
    </w:p>
    <w:p>
      <w:pPr>
        <w:spacing w:before="1"/>
        <w:ind w:left="100" w:right="0" w:firstLine="0"/>
        <w:jc w:val="center"/>
        <w:rPr>
          <w:rFonts w:ascii="Calibri"/>
          <w:b/>
          <w:sz w:val="96"/>
        </w:rPr>
      </w:pPr>
      <w:r>
        <w:rPr>
          <w:rFonts w:ascii="Calibri"/>
          <w:b/>
          <w:color w:val="D0202E"/>
          <w:spacing w:val="55"/>
          <w:w w:val="115"/>
          <w:sz w:val="96"/>
        </w:rPr>
        <w:t>R</w:t>
      </w:r>
      <w:r>
        <w:rPr>
          <w:rFonts w:ascii="Calibri"/>
          <w:b/>
          <w:color w:val="D0202E"/>
          <w:spacing w:val="55"/>
          <w:w w:val="115"/>
          <w:sz w:val="96"/>
          <w:vertAlign w:val="subscript"/>
        </w:rPr>
        <w:t>eception</w:t>
      </w:r>
    </w:p>
    <w:p>
      <w:pPr>
        <w:tabs>
          <w:tab w:pos="1215" w:val="left" w:leader="none"/>
          <w:tab w:pos="4604" w:val="left" w:leader="none"/>
        </w:tabs>
        <w:spacing w:before="28"/>
        <w:ind w:left="100" w:right="0" w:firstLine="0"/>
        <w:jc w:val="center"/>
        <w:rPr>
          <w:rFonts w:ascii="Calibri" w:hAnsi="Calibri"/>
          <w:b/>
          <w:sz w:val="67"/>
        </w:rPr>
      </w:pPr>
      <w:r>
        <w:rPr>
          <w:rFonts w:ascii="Calibri" w:hAnsi="Calibri"/>
          <w:b/>
          <w:color w:val="D0202E"/>
          <w:spacing w:val="31"/>
          <w:w w:val="120"/>
          <w:sz w:val="67"/>
        </w:rPr>
        <w:t>in</w:t>
        <w:tab/>
      </w:r>
      <w:r>
        <w:rPr>
          <w:rFonts w:ascii="Calibri" w:hAnsi="Calibri"/>
          <w:b/>
          <w:color w:val="D0202E"/>
          <w:spacing w:val="53"/>
          <w:w w:val="120"/>
          <w:sz w:val="96"/>
        </w:rPr>
        <w:t>c</w:t>
      </w:r>
      <w:r>
        <w:rPr>
          <w:rFonts w:ascii="Calibri" w:hAnsi="Calibri"/>
          <w:b/>
          <w:color w:val="D0202E"/>
          <w:spacing w:val="53"/>
          <w:w w:val="120"/>
          <w:sz w:val="67"/>
        </w:rPr>
        <w:t>haiR</w:t>
      </w:r>
      <w:r>
        <w:rPr>
          <w:rFonts w:ascii="Calibri" w:hAnsi="Calibri"/>
          <w:b/>
          <w:color w:val="D0202E"/>
          <w:spacing w:val="53"/>
          <w:w w:val="120"/>
          <w:sz w:val="96"/>
        </w:rPr>
        <w:t>’</w:t>
      </w:r>
      <w:r>
        <w:rPr>
          <w:rFonts w:ascii="Calibri" w:hAnsi="Calibri"/>
          <w:b/>
          <w:color w:val="D0202E"/>
          <w:spacing w:val="53"/>
          <w:w w:val="120"/>
          <w:sz w:val="67"/>
        </w:rPr>
        <w:t>s</w:t>
        <w:tab/>
      </w:r>
      <w:r>
        <w:rPr>
          <w:rFonts w:ascii="Calibri" w:hAnsi="Calibri"/>
          <w:b/>
          <w:color w:val="D0202E"/>
          <w:spacing w:val="49"/>
          <w:w w:val="120"/>
          <w:sz w:val="96"/>
        </w:rPr>
        <w:t>s</w:t>
      </w:r>
      <w:r>
        <w:rPr>
          <w:rFonts w:ascii="Calibri" w:hAnsi="Calibri"/>
          <w:b/>
          <w:color w:val="D0202E"/>
          <w:spacing w:val="49"/>
          <w:w w:val="120"/>
          <w:sz w:val="67"/>
        </w:rPr>
        <w:t>uite</w:t>
      </w:r>
    </w:p>
    <w:p>
      <w:pPr>
        <w:pStyle w:val="Heading1"/>
        <w:spacing w:before="178"/>
      </w:pPr>
      <w:r>
        <w:rPr>
          <w:color w:val="231F20"/>
        </w:rPr>
        <w:t>Thursday, January 17, 2019</w:t>
      </w:r>
    </w:p>
    <w:p>
      <w:pPr>
        <w:spacing w:before="89"/>
        <w:ind w:left="100" w:right="0" w:firstLine="0"/>
        <w:jc w:val="center"/>
        <w:rPr>
          <w:rFonts w:ascii="Arial"/>
          <w:b/>
          <w:sz w:val="40"/>
        </w:rPr>
      </w:pPr>
      <w:r>
        <w:rPr>
          <w:rFonts w:ascii="Arial"/>
          <w:b/>
          <w:color w:val="231F20"/>
          <w:sz w:val="40"/>
        </w:rPr>
        <w:t>7:00 p.m. - 8:30 p.m.</w:t>
      </w:r>
    </w:p>
    <w:p>
      <w:pPr>
        <w:pStyle w:val="BodyText"/>
        <w:spacing w:before="4"/>
        <w:rPr>
          <w:rFonts w:ascii="Arial"/>
          <w:b/>
          <w:sz w:val="40"/>
        </w:rPr>
      </w:pPr>
    </w:p>
    <w:p>
      <w:pPr>
        <w:pStyle w:val="BodyText"/>
        <w:spacing w:before="1"/>
        <w:ind w:left="100"/>
        <w:rPr>
          <w:rFonts w:ascii="Arial"/>
        </w:rPr>
      </w:pPr>
      <w:r>
        <w:rPr>
          <w:rFonts w:ascii="Arial"/>
          <w:color w:val="231F20"/>
        </w:rPr>
        <w:t>Directions to Suite# 21706 from Lobby</w:t>
      </w:r>
    </w:p>
    <w:p>
      <w:pPr>
        <w:pStyle w:val="BodyText"/>
        <w:spacing w:before="6"/>
        <w:rPr>
          <w:rFonts w:ascii="Arial"/>
          <w:sz w:val="23"/>
        </w:rPr>
      </w:pPr>
    </w:p>
    <w:p>
      <w:pPr>
        <w:pStyle w:val="ListParagraph"/>
        <w:numPr>
          <w:ilvl w:val="0"/>
          <w:numId w:val="7"/>
        </w:numPr>
        <w:tabs>
          <w:tab w:pos="401" w:val="left" w:leader="none"/>
        </w:tabs>
        <w:spacing w:line="240" w:lineRule="auto" w:before="0" w:after="0"/>
        <w:ind w:left="400" w:right="0" w:hanging="301"/>
        <w:jc w:val="left"/>
        <w:rPr>
          <w:rFonts w:ascii="Arial" w:hAnsi="Arial"/>
          <w:sz w:val="22"/>
        </w:rPr>
      </w:pPr>
      <w:r>
        <w:rPr>
          <w:rFonts w:ascii="Arial" w:hAnsi="Arial"/>
          <w:color w:val="231F20"/>
          <w:sz w:val="22"/>
        </w:rPr>
        <w:t>Down the hall, out the sliding glass doors—make a</w:t>
      </w:r>
      <w:r>
        <w:rPr>
          <w:rFonts w:ascii="Arial" w:hAnsi="Arial"/>
          <w:color w:val="231F20"/>
          <w:spacing w:val="-13"/>
          <w:sz w:val="22"/>
        </w:rPr>
        <w:t> </w:t>
      </w:r>
      <w:r>
        <w:rPr>
          <w:rFonts w:ascii="Arial" w:hAnsi="Arial"/>
          <w:color w:val="231F20"/>
          <w:sz w:val="22"/>
        </w:rPr>
        <w:t>left.</w:t>
      </w:r>
    </w:p>
    <w:p>
      <w:pPr>
        <w:pStyle w:val="ListParagraph"/>
        <w:numPr>
          <w:ilvl w:val="0"/>
          <w:numId w:val="7"/>
        </w:numPr>
        <w:tabs>
          <w:tab w:pos="401" w:val="left" w:leader="none"/>
        </w:tabs>
        <w:spacing w:line="249" w:lineRule="auto" w:before="111" w:after="0"/>
        <w:ind w:left="400" w:right="115" w:hanging="301"/>
        <w:jc w:val="left"/>
        <w:rPr>
          <w:rFonts w:ascii="Arial" w:hAnsi="Arial"/>
          <w:sz w:val="22"/>
        </w:rPr>
      </w:pPr>
      <w:r>
        <w:rPr>
          <w:rFonts w:ascii="Arial" w:hAnsi="Arial"/>
          <w:color w:val="231F20"/>
          <w:spacing w:val="-8"/>
          <w:sz w:val="22"/>
        </w:rPr>
        <w:t>You </w:t>
      </w:r>
      <w:r>
        <w:rPr>
          <w:rFonts w:ascii="Arial" w:hAnsi="Arial"/>
          <w:color w:val="231F20"/>
          <w:sz w:val="22"/>
        </w:rPr>
        <w:t>will pass the Laguna Restaurant; and on the right-hand side you will see the </w:t>
      </w:r>
      <w:r>
        <w:rPr>
          <w:rFonts w:ascii="Arial" w:hAnsi="Arial"/>
          <w:color w:val="231F20"/>
          <w:spacing w:val="-3"/>
          <w:sz w:val="22"/>
        </w:rPr>
        <w:t>tower.</w:t>
      </w:r>
    </w:p>
    <w:p>
      <w:pPr>
        <w:pStyle w:val="ListParagraph"/>
        <w:numPr>
          <w:ilvl w:val="0"/>
          <w:numId w:val="7"/>
        </w:numPr>
        <w:tabs>
          <w:tab w:pos="400" w:val="left" w:leader="none"/>
        </w:tabs>
        <w:spacing w:line="240" w:lineRule="auto" w:before="102" w:after="0"/>
        <w:ind w:left="400" w:right="0" w:hanging="300"/>
        <w:jc w:val="left"/>
        <w:rPr>
          <w:rFonts w:ascii="Arial" w:hAnsi="Arial"/>
          <w:sz w:val="22"/>
        </w:rPr>
      </w:pPr>
      <w:r>
        <w:rPr>
          <w:rFonts w:ascii="Arial" w:hAnsi="Arial"/>
          <w:color w:val="231F20"/>
          <w:spacing w:val="-7"/>
          <w:sz w:val="22"/>
        </w:rPr>
        <w:t>Take </w:t>
      </w:r>
      <w:r>
        <w:rPr>
          <w:rFonts w:ascii="Arial" w:hAnsi="Arial"/>
          <w:color w:val="231F20"/>
          <w:sz w:val="22"/>
        </w:rPr>
        <w:t>the elevator to the 17th floor, and the lounge (connecting</w:t>
      </w:r>
      <w:r>
        <w:rPr>
          <w:rFonts w:ascii="Arial" w:hAnsi="Arial"/>
          <w:color w:val="231F20"/>
          <w:spacing w:val="-10"/>
          <w:sz w:val="22"/>
        </w:rPr>
        <w:t> </w:t>
      </w:r>
      <w:r>
        <w:rPr>
          <w:rFonts w:ascii="Arial" w:hAnsi="Arial"/>
          <w:color w:val="231F20"/>
          <w:sz w:val="22"/>
        </w:rPr>
        <w:t>to</w:t>
      </w:r>
    </w:p>
    <w:p>
      <w:pPr>
        <w:spacing w:before="11"/>
        <w:ind w:left="400" w:right="0" w:firstLine="0"/>
        <w:jc w:val="left"/>
        <w:rPr>
          <w:rFonts w:ascii="Arial" w:hAnsi="Arial"/>
          <w:sz w:val="22"/>
        </w:rPr>
      </w:pPr>
      <w:r>
        <w:rPr>
          <w:rFonts w:ascii="Arial" w:hAnsi="Arial"/>
          <w:color w:val="231F20"/>
          <w:sz w:val="22"/>
        </w:rPr>
        <w:t>Cathleen’s room) will be on the right with a double door entrance.</w:t>
      </w:r>
    </w:p>
    <w:p>
      <w:pPr>
        <w:pStyle w:val="BodyText"/>
        <w:rPr>
          <w:rFonts w:ascii="Arial"/>
        </w:rPr>
      </w:pPr>
    </w:p>
    <w:p>
      <w:pPr>
        <w:pStyle w:val="BodyText"/>
        <w:rPr>
          <w:rFonts w:ascii="Arial"/>
        </w:rPr>
      </w:pPr>
    </w:p>
    <w:p>
      <w:pPr>
        <w:pStyle w:val="BodyText"/>
        <w:rPr>
          <w:rFonts w:ascii="Arial"/>
          <w:sz w:val="19"/>
        </w:rPr>
      </w:pPr>
    </w:p>
    <w:p>
      <w:pPr>
        <w:tabs>
          <w:tab w:pos="3397" w:val="left" w:leader="none"/>
          <w:tab w:pos="6063" w:val="left" w:leader="none"/>
        </w:tabs>
        <w:spacing w:before="0"/>
        <w:ind w:left="99" w:right="0" w:firstLine="0"/>
        <w:jc w:val="center"/>
        <w:rPr>
          <w:rFonts w:ascii="Arial"/>
          <w:sz w:val="16"/>
        </w:rPr>
      </w:pPr>
      <w:r>
        <w:rPr>
          <w:rFonts w:ascii="Arial"/>
          <w:color w:val="FFFFFF"/>
          <w:sz w:val="16"/>
        </w:rPr>
        <w:t>Labor</w:t>
      </w:r>
      <w:r>
        <w:rPr>
          <w:rFonts w:ascii="Arial"/>
          <w:color w:val="FFFFFF"/>
          <w:spacing w:val="-2"/>
          <w:sz w:val="16"/>
        </w:rPr>
        <w:t> </w:t>
      </w:r>
      <w:r>
        <w:rPr>
          <w:rFonts w:ascii="Arial"/>
          <w:color w:val="FFFFFF"/>
          <w:sz w:val="16"/>
        </w:rPr>
        <w:t>Agenda</w:t>
        <w:tab/>
        <w:t>Exhibit J</w:t>
        <w:tab/>
        <w:t>January 17,</w:t>
      </w:r>
      <w:r>
        <w:rPr>
          <w:rFonts w:ascii="Arial"/>
          <w:color w:val="FFFFFF"/>
          <w:spacing w:val="-3"/>
          <w:sz w:val="16"/>
        </w:rPr>
        <w:t> </w:t>
      </w:r>
      <w:r>
        <w:rPr>
          <w:rFonts w:ascii="Arial"/>
          <w:color w:val="FFFFFF"/>
          <w:sz w:val="16"/>
        </w:rPr>
        <w:t>2019</w:t>
      </w:r>
    </w:p>
    <w:p>
      <w:pPr>
        <w:spacing w:after="0"/>
        <w:jc w:val="center"/>
        <w:rPr>
          <w:rFonts w:ascii="Arial"/>
          <w:sz w:val="16"/>
        </w:rPr>
        <w:sectPr>
          <w:footerReference w:type="default" r:id="rId42"/>
          <w:pgSz w:w="10080" w:h="13440"/>
          <w:pgMar w:footer="0" w:header="0" w:top="900" w:bottom="280" w:left="1220" w:right="1320"/>
        </w:sectPr>
      </w:pPr>
    </w:p>
    <w:p>
      <w:pPr>
        <w:spacing w:before="88"/>
        <w:ind w:left="1802" w:right="1802" w:firstLine="0"/>
        <w:jc w:val="center"/>
        <w:rPr>
          <w:rFonts w:ascii="Cambria"/>
          <w:b/>
          <w:sz w:val="34"/>
        </w:rPr>
      </w:pPr>
      <w:r>
        <w:rPr/>
        <w:pict>
          <v:group style="position:absolute;margin-left:33.168999pt;margin-top:63.389pt;width:545.7pt;height:719.05pt;mso-position-horizontal-relative:page;mso-position-vertical-relative:page;z-index:-253878272" coordorigin="663,1268" coordsize="10914,14381">
            <v:shape style="position:absolute;left:673;top:1277;width:10894;height:6996" type="#_x0000_t75" stroked="false">
              <v:imagedata r:id="rId50" o:title=""/>
            </v:shape>
            <v:rect style="position:absolute;left:673;top:1277;width:10894;height:14361" filled="false" stroked="true" strokeweight="1pt" strokecolor="#231f20">
              <v:stroke dashstyle="solid"/>
            </v:rect>
            <v:shape style="position:absolute;left:996;top:8632;width:4347;height:6823" type="#_x0000_t75" stroked="false">
              <v:imagedata r:id="rId51" o:title=""/>
            </v:shape>
            <v:line style="position:absolute" from="9324,11115" to="7930,3821" stroked="true" strokeweight="2.5pt" strokecolor="#f16d75">
              <v:stroke dashstyle="longdash"/>
            </v:line>
            <v:shape style="position:absolute;left:5892;top:8504;width:5659;height:6976" type="#_x0000_t75" stroked="false">
              <v:imagedata r:id="rId52" o:title=""/>
            </v:shape>
            <v:line style="position:absolute" from="2954,4001" to="3048,9040" stroked="true" strokeweight="2.5pt" strokecolor="#40ad49">
              <v:stroke dashstyle="longdash"/>
            </v:line>
            <v:line style="position:absolute" from="3028,8823" to="3576,9097" stroked="true" strokeweight="2.5pt" strokecolor="#40ad49">
              <v:stroke dashstyle="longdash"/>
            </v:line>
            <w10:wrap type="none"/>
          </v:group>
        </w:pict>
      </w:r>
      <w:bookmarkStart w:name="13 - Exhibit K - Map for Winter Mtg-2019" w:id="33"/>
      <w:bookmarkEnd w:id="33"/>
      <w:r>
        <w:rPr/>
      </w:r>
      <w:r>
        <w:rPr>
          <w:rFonts w:ascii="Cambria"/>
          <w:b/>
          <w:color w:val="231F20"/>
          <w:w w:val="135"/>
          <w:sz w:val="34"/>
        </w:rPr>
        <w:t>W</w:t>
      </w:r>
      <w:r>
        <w:rPr>
          <w:rFonts w:ascii="Cambria"/>
          <w:b/>
          <w:color w:val="231F20"/>
          <w:w w:val="135"/>
          <w:sz w:val="24"/>
        </w:rPr>
        <w:t>inter </w:t>
      </w:r>
      <w:r>
        <w:rPr>
          <w:rFonts w:ascii="Cambria"/>
          <w:b/>
          <w:color w:val="231F20"/>
          <w:w w:val="135"/>
          <w:sz w:val="34"/>
        </w:rPr>
        <w:t>M</w:t>
      </w:r>
      <w:r>
        <w:rPr>
          <w:rFonts w:ascii="Cambria"/>
          <w:b/>
          <w:color w:val="231F20"/>
          <w:w w:val="135"/>
          <w:sz w:val="24"/>
        </w:rPr>
        <w:t>eeting </w:t>
      </w:r>
      <w:r>
        <w:rPr>
          <w:rFonts w:ascii="Cambria"/>
          <w:b/>
          <w:color w:val="231F20"/>
          <w:w w:val="120"/>
          <w:sz w:val="34"/>
        </w:rPr>
        <w:t>2019</w:t>
      </w:r>
    </w:p>
    <w:p>
      <w:pPr>
        <w:pStyle w:val="Heading6"/>
        <w:spacing w:before="9"/>
        <w:ind w:left="1802" w:right="1802"/>
        <w:rPr>
          <w:rFonts w:ascii="Cambria"/>
        </w:rPr>
      </w:pPr>
      <w:r>
        <w:rPr>
          <w:rFonts w:ascii="Cambria"/>
          <w:color w:val="231F20"/>
          <w:w w:val="140"/>
          <w:sz w:val="34"/>
        </w:rPr>
        <w:t>L</w:t>
      </w:r>
      <w:r>
        <w:rPr>
          <w:rFonts w:ascii="Cambria"/>
          <w:color w:val="231F20"/>
          <w:w w:val="140"/>
        </w:rPr>
        <w:t>abor and </w:t>
      </w:r>
      <w:r>
        <w:rPr>
          <w:rFonts w:ascii="Cambria"/>
          <w:color w:val="231F20"/>
          <w:w w:val="140"/>
          <w:sz w:val="34"/>
        </w:rPr>
        <w:t>e</w:t>
      </w:r>
      <w:r>
        <w:rPr>
          <w:rFonts w:ascii="Cambria"/>
          <w:color w:val="231F20"/>
          <w:w w:val="140"/>
        </w:rPr>
        <w:t>MpLoyMent </w:t>
      </w:r>
      <w:r>
        <w:rPr>
          <w:rFonts w:ascii="Cambria"/>
          <w:color w:val="231F20"/>
          <w:w w:val="140"/>
          <w:sz w:val="34"/>
        </w:rPr>
        <w:t>L</w:t>
      </w:r>
      <w:r>
        <w:rPr>
          <w:rFonts w:ascii="Cambria"/>
          <w:color w:val="231F20"/>
          <w:w w:val="140"/>
        </w:rPr>
        <w:t>aW </w:t>
      </w:r>
      <w:r>
        <w:rPr>
          <w:rFonts w:ascii="Cambria"/>
          <w:color w:val="231F20"/>
          <w:w w:val="140"/>
          <w:sz w:val="34"/>
        </w:rPr>
        <w:t>S</w:t>
      </w:r>
      <w:r>
        <w:rPr>
          <w:rFonts w:ascii="Cambria"/>
          <w:color w:val="231F20"/>
          <w:w w:val="140"/>
        </w:rPr>
        <w:t>ection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5"/>
        </w:rPr>
      </w:pPr>
    </w:p>
    <w:p>
      <w:pPr>
        <w:tabs>
          <w:tab w:pos="4464" w:val="left" w:leader="none"/>
          <w:tab w:pos="8223" w:val="left" w:leader="none"/>
        </w:tabs>
        <w:spacing w:before="95"/>
        <w:ind w:left="100" w:right="0" w:firstLine="0"/>
        <w:jc w:val="left"/>
        <w:rPr>
          <w:rFonts w:ascii="Arial"/>
          <w:sz w:val="16"/>
        </w:rPr>
      </w:pPr>
      <w:r>
        <w:rPr>
          <w:rFonts w:ascii="Arial"/>
          <w:sz w:val="16"/>
        </w:rPr>
        <w:t>Labor Agenda Winter</w:t>
      </w:r>
      <w:r>
        <w:rPr>
          <w:rFonts w:ascii="Arial"/>
          <w:spacing w:val="-6"/>
          <w:sz w:val="16"/>
        </w:rPr>
        <w:t> </w:t>
      </w:r>
      <w:r>
        <w:rPr>
          <w:rFonts w:ascii="Arial"/>
          <w:sz w:val="16"/>
        </w:rPr>
        <w:t>Meeting</w:t>
      </w:r>
      <w:r>
        <w:rPr>
          <w:rFonts w:ascii="Arial"/>
          <w:spacing w:val="-1"/>
          <w:sz w:val="16"/>
        </w:rPr>
        <w:t> </w:t>
      </w:r>
      <w:r>
        <w:rPr>
          <w:rFonts w:ascii="Arial"/>
          <w:sz w:val="16"/>
        </w:rPr>
        <w:t>2019</w:t>
        <w:tab/>
        <w:t>Exhibit K</w:t>
        <w:tab/>
        <w:t>January 17,</w:t>
      </w:r>
      <w:r>
        <w:rPr>
          <w:rFonts w:ascii="Arial"/>
          <w:spacing w:val="-4"/>
          <w:sz w:val="16"/>
        </w:rPr>
        <w:t> </w:t>
      </w:r>
      <w:r>
        <w:rPr>
          <w:rFonts w:ascii="Arial"/>
          <w:sz w:val="16"/>
        </w:rPr>
        <w:t>2019</w:t>
      </w:r>
    </w:p>
    <w:sectPr>
      <w:footerReference w:type="default" r:id="rId49"/>
      <w:pgSz w:w="12240" w:h="15840"/>
      <w:pgMar w:footer="0" w:header="0" w:top="280" w:bottom="0" w:left="134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Verdana">
    <w:altName w:val="Verdana"/>
    <w:charset w:val="0"/>
    <w:family w:val="swiss"/>
    <w:pitch w:val="variable"/>
  </w:font>
  <w:font w:name="MS UI Gothic">
    <w:altName w:val="MS UI Gothic"/>
    <w:charset w:val="0"/>
    <w:family w:val="swiss"/>
    <w:pitch w:val="variable"/>
  </w:font>
  <w:font w:name="Calibri">
    <w:altName w:val="Calibri"/>
    <w:charset w:val="0"/>
    <w:family w:val="swiss"/>
    <w:pitch w:val="variable"/>
  </w:font>
  <w:font w:name="Cambria">
    <w:altName w:val="Cambria"/>
    <w:charset w:val="0"/>
    <w:family w:val="roman"/>
    <w:pitch w:val="variable"/>
  </w:font>
  <w:font w:name="Segoe UI">
    <w:altName w:val="Segoe UI"/>
    <w:charset w:val="0"/>
    <w:family w:val="swiss"/>
    <w:pitch w:val="variable"/>
  </w:font>
  <w:font w:name="Microsoft Sans Serif">
    <w:altName w:val="Microsoft Sans Serif"/>
    <w:charset w:val="0"/>
    <w:family w:val="swiss"/>
    <w:pitch w:val="variable"/>
  </w:font>
  <w:font w:name="Symbol">
    <w:altName w:val="Symbol"/>
    <w:charset w:val="2"/>
    <w:family w:val="roman"/>
    <w:pitch w:val="variable"/>
  </w:font>
  <w:font w:name="Wingdings">
    <w:altName w:val="Wingdings"/>
    <w:charset w:val="2"/>
    <w:family w:val="auto"/>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62.07428pt;width:128.3pt;height:10.95pt;mso-position-horizontal-relative:page;mso-position-vertical-relative:page;z-index:-253907968"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477.177032pt;margin-top:762.07428pt;width:63.85pt;height:10.95pt;mso-position-horizontal-relative:page;mso-position-vertical-relative:page;z-index:-253906944"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8.3pt;height:10.95pt;mso-position-horizontal-relative:page;mso-position-vertical-relative:page;z-index:-253881344"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769501pt;margin-top:754.87384pt;width:38.5pt;height:10.95pt;mso-position-horizontal-relative:page;mso-position-vertical-relative:page;z-index:-253880320" type="#_x0000_t202" filled="false" stroked="false">
          <v:textbox inset="0,0,0,0">
            <w:txbxContent>
              <w:p>
                <w:pPr>
                  <w:spacing w:before="14"/>
                  <w:ind w:left="20" w:right="0" w:firstLine="0"/>
                  <w:jc w:val="left"/>
                  <w:rPr>
                    <w:rFonts w:ascii="Arial"/>
                    <w:sz w:val="16"/>
                  </w:rPr>
                </w:pPr>
                <w:r>
                  <w:rPr>
                    <w:rFonts w:ascii="Arial"/>
                    <w:sz w:val="16"/>
                  </w:rPr>
                  <w:t>Exhibit D1</w:t>
                </w:r>
              </w:p>
            </w:txbxContent>
          </v:textbox>
          <w10:wrap type="none"/>
        </v:shape>
      </w:pict>
    </w:r>
    <w:r>
      <w:rPr/>
      <w:pict>
        <v:shape style="position:absolute;margin-left:477.177032pt;margin-top:754.87384pt;width:63.85pt;height:10.95pt;mso-position-horizontal-relative:page;mso-position-vertical-relative:page;z-index:-253879296"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8.3pt;height:10.95pt;mso-position-horizontal-relative:page;mso-position-vertical-relative:page;z-index:-253878272"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769501pt;margin-top:754.87384pt;width:38.5pt;height:10.95pt;mso-position-horizontal-relative:page;mso-position-vertical-relative:page;z-index:-253877248" type="#_x0000_t202" filled="false" stroked="false">
          <v:textbox inset="0,0,0,0">
            <w:txbxContent>
              <w:p>
                <w:pPr>
                  <w:spacing w:before="14"/>
                  <w:ind w:left="20" w:right="0" w:firstLine="0"/>
                  <w:jc w:val="left"/>
                  <w:rPr>
                    <w:rFonts w:ascii="Arial"/>
                    <w:sz w:val="16"/>
                  </w:rPr>
                </w:pPr>
                <w:r>
                  <w:rPr>
                    <w:rFonts w:ascii="Arial"/>
                    <w:sz w:val="16"/>
                  </w:rPr>
                  <w:t>Exhibit D2</w:t>
                </w:r>
              </w:p>
            </w:txbxContent>
          </v:textbox>
          <w10:wrap type="none"/>
        </v:shape>
      </w:pict>
    </w:r>
    <w:r>
      <w:rPr/>
      <w:pict>
        <v:shape style="position:absolute;margin-left:477.177032pt;margin-top:754.87384pt;width:63.85pt;height:10.95pt;mso-position-horizontal-relative:page;mso-position-vertical-relative:page;z-index:-253876224"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8.3pt;height:10.95pt;mso-position-horizontal-relative:page;mso-position-vertical-relative:page;z-index:-253875200"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989990pt;margin-top:754.87384pt;width:40.050pt;height:10.95pt;mso-position-horizontal-relative:page;mso-position-vertical-relative:page;z-index:-253874176" type="#_x0000_t202" filled="false" stroked="false">
          <v:textbox inset="0,0,0,0">
            <w:txbxContent>
              <w:p>
                <w:pPr>
                  <w:spacing w:before="14"/>
                  <w:ind w:left="20" w:right="0" w:firstLine="0"/>
                  <w:jc w:val="left"/>
                  <w:rPr>
                    <w:rFonts w:ascii="Arial"/>
                    <w:sz w:val="16"/>
                  </w:rPr>
                </w:pPr>
                <w:r>
                  <w:rPr>
                    <w:rFonts w:ascii="Arial"/>
                    <w:sz w:val="16"/>
                  </w:rPr>
                  <w:t>Exhibit E</w:t>
                </w:r>
                <w:r>
                  <w:rPr/>
                  <w:fldChar w:fldCharType="begin"/>
                </w:r>
                <w:r>
                  <w:rPr>
                    <w:rFonts w:ascii="Arial"/>
                    <w:sz w:val="16"/>
                  </w:rPr>
                  <w:instrText> PAGE </w:instrText>
                </w:r>
                <w:r>
                  <w:rPr/>
                  <w:fldChar w:fldCharType="separate"/>
                </w:r>
                <w:r>
                  <w:rPr/>
                  <w:t>1</w:t>
                </w:r>
                <w:r>
                  <w:rPr/>
                  <w:fldChar w:fldCharType="end"/>
                </w:r>
              </w:p>
            </w:txbxContent>
          </v:textbox>
          <w10:wrap type="none"/>
        </v:shape>
      </w:pict>
    </w:r>
    <w:r>
      <w:rPr/>
      <w:pict>
        <v:shape style="position:absolute;margin-left:477.177032pt;margin-top:754.87384pt;width:63.85pt;height:10.95pt;mso-position-horizontal-relative:page;mso-position-vertical-relative:page;z-index:-253873152"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049988pt;margin-top:732.03949pt;width:11.55pt;height:13.15pt;mso-position-horizontal-relative:page;mso-position-vertical-relative:page;z-index:-253872128" type="#_x0000_t202" filled="false" stroked="false">
          <v:textbox inset="0,0,0,0">
            <w:txbxContent>
              <w:p>
                <w:pPr>
                  <w:spacing w:before="12"/>
                  <w:ind w:left="60" w:right="0" w:firstLine="0"/>
                  <w:jc w:val="left"/>
                  <w:rPr>
                    <w:rFonts w:ascii="Arial"/>
                    <w:sz w:val="20"/>
                  </w:rPr>
                </w:pPr>
                <w:r>
                  <w:rPr/>
                  <w:fldChar w:fldCharType="begin"/>
                </w:r>
                <w:r>
                  <w:rPr>
                    <w:rFonts w:ascii="Arial"/>
                    <w:w w:val="99"/>
                    <w:sz w:val="20"/>
                  </w:rPr>
                  <w:instrText> PAGE </w:instrText>
                </w:r>
                <w:r>
                  <w:rPr/>
                  <w:fldChar w:fldCharType="separate"/>
                </w:r>
                <w:r>
                  <w:rPr/>
                  <w:t>1</w:t>
                </w:r>
                <w:r>
                  <w:rPr/>
                  <w:fldChar w:fldCharType="end"/>
                </w:r>
              </w:p>
            </w:txbxContent>
          </v:textbox>
          <w10:wrap type="none"/>
        </v:shape>
      </w:pict>
    </w:r>
    <w:r>
      <w:rPr/>
      <w:pict>
        <v:shape style="position:absolute;margin-left:472.380005pt;margin-top:732.03949pt;width:68.650pt;height:13.15pt;mso-position-horizontal-relative:page;mso-position-vertical-relative:page;z-index:-253871104" type="#_x0000_t202" filled="false" stroked="false">
          <v:textbox inset="0,0,0,0">
            <w:txbxContent>
              <w:p>
                <w:pPr>
                  <w:spacing w:before="12"/>
                  <w:ind w:left="20" w:right="0" w:firstLine="0"/>
                  <w:jc w:val="left"/>
                  <w:rPr>
                    <w:rFonts w:ascii="Arial"/>
                    <w:i/>
                    <w:sz w:val="20"/>
                  </w:rPr>
                </w:pPr>
                <w:r>
                  <w:rPr>
                    <w:rFonts w:ascii="Arial"/>
                    <w:i/>
                    <w:sz w:val="20"/>
                  </w:rPr>
                  <w:t>Revised 6/8/15</w:t>
                </w:r>
              </w:p>
            </w:txbxContent>
          </v:textbox>
          <w10:wrap type="none"/>
        </v:shape>
      </w:pict>
    </w:r>
    <w:r>
      <w:rPr/>
      <w:pict>
        <v:shape style="position:absolute;margin-left:71pt;margin-top:754.87384pt;width:128.3pt;height:10.95pt;mso-position-horizontal-relative:page;mso-position-vertical-relative:page;z-index:-253870080"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989990pt;margin-top:754.87384pt;width:38.050pt;height:10.95pt;mso-position-horizontal-relative:page;mso-position-vertical-relative:page;z-index:-253869056" type="#_x0000_t202" filled="false" stroked="false">
          <v:textbox inset="0,0,0,0">
            <w:txbxContent>
              <w:p>
                <w:pPr>
                  <w:spacing w:before="14"/>
                  <w:ind w:left="20" w:right="0" w:firstLine="0"/>
                  <w:jc w:val="left"/>
                  <w:rPr>
                    <w:rFonts w:ascii="Arial"/>
                    <w:sz w:val="16"/>
                  </w:rPr>
                </w:pPr>
                <w:r>
                  <w:rPr>
                    <w:rFonts w:ascii="Arial"/>
                    <w:sz w:val="16"/>
                  </w:rPr>
                  <w:t>Exhibit E3</w:t>
                </w:r>
              </w:p>
            </w:txbxContent>
          </v:textbox>
          <w10:wrap type="none"/>
        </v:shape>
      </w:pict>
    </w:r>
    <w:r>
      <w:rPr/>
      <w:pict>
        <v:shape style="position:absolute;margin-left:477.177032pt;margin-top:754.87384pt;width:63.85pt;height:10.95pt;mso-position-horizontal-relative:page;mso-position-vertical-relative:page;z-index:-253868032"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8.3pt;height:10.95pt;mso-position-horizontal-relative:page;mso-position-vertical-relative:page;z-index:-253867008"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7.214508pt;margin-top:754.87384pt;width:39.6pt;height:10.95pt;mso-position-horizontal-relative:page;mso-position-vertical-relative:page;z-index:-253865984" type="#_x0000_t202" filled="false" stroked="false">
          <v:textbox inset="0,0,0,0">
            <w:txbxContent>
              <w:p>
                <w:pPr>
                  <w:spacing w:before="14"/>
                  <w:ind w:left="20" w:right="0" w:firstLine="0"/>
                  <w:jc w:val="left"/>
                  <w:rPr>
                    <w:rFonts w:ascii="Arial"/>
                    <w:sz w:val="16"/>
                  </w:rPr>
                </w:pPr>
                <w:r>
                  <w:rPr>
                    <w:rFonts w:ascii="Arial"/>
                    <w:sz w:val="16"/>
                  </w:rPr>
                  <w:t>Exhibit F</w:t>
                </w:r>
                <w:r>
                  <w:rPr/>
                  <w:fldChar w:fldCharType="begin"/>
                </w:r>
                <w:r>
                  <w:rPr>
                    <w:rFonts w:ascii="Arial"/>
                    <w:sz w:val="16"/>
                  </w:rPr>
                  <w:instrText> PAGE </w:instrText>
                </w:r>
                <w:r>
                  <w:rPr/>
                  <w:fldChar w:fldCharType="separate"/>
                </w:r>
                <w:r>
                  <w:rPr/>
                  <w:t>2</w:t>
                </w:r>
                <w:r>
                  <w:rPr/>
                  <w:fldChar w:fldCharType="end"/>
                </w:r>
              </w:p>
            </w:txbxContent>
          </v:textbox>
          <w10:wrap type="none"/>
        </v:shape>
      </w:pict>
    </w:r>
    <w:r>
      <w:rPr/>
      <w:pict>
        <v:shape style="position:absolute;margin-left:477.177032pt;margin-top:754.87384pt;width:63.85pt;height:10.95pt;mso-position-horizontal-relative:page;mso-position-vertical-relative:page;z-index:-253864960"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2.07428pt;width:128.3pt;height:10.95pt;mso-position-horizontal-relative:page;mso-position-vertical-relative:page;z-index:-253863936"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8.770996pt;margin-top:762.07428pt;width:34.5pt;height:10.95pt;mso-position-horizontal-relative:page;mso-position-vertical-relative:page;z-index:-253862912" type="#_x0000_t202" filled="false" stroked="false">
          <v:textbox inset="0,0,0,0">
            <w:txbxContent>
              <w:p>
                <w:pPr>
                  <w:spacing w:before="14"/>
                  <w:ind w:left="20" w:right="0" w:firstLine="0"/>
                  <w:jc w:val="left"/>
                  <w:rPr>
                    <w:rFonts w:ascii="Arial"/>
                    <w:sz w:val="16"/>
                  </w:rPr>
                </w:pPr>
                <w:r>
                  <w:rPr>
                    <w:rFonts w:ascii="Arial"/>
                    <w:sz w:val="16"/>
                  </w:rPr>
                  <w:t>Exhibit G</w:t>
                </w:r>
              </w:p>
            </w:txbxContent>
          </v:textbox>
          <w10:wrap type="none"/>
        </v:shape>
      </w:pict>
    </w:r>
    <w:r>
      <w:rPr/>
      <w:pict>
        <v:shape style="position:absolute;margin-left:477.177032pt;margin-top:762.07428pt;width:63.85pt;height:10.95pt;mso-position-horizontal-relative:page;mso-position-vertical-relative:page;z-index:-253861888"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04pt;height:672pt;mso-position-horizontal-relative:page;mso-position-vertical-relative:page;z-index:-253860864" filled="true" fillcolor="#005391" stroked="false">
          <v:fill type="solid"/>
          <w10:wrap type="non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8.3pt;height:10.95pt;mso-position-horizontal-relative:page;mso-position-vertical-relative:page;z-index:-253905920"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989990pt;margin-top:754.87384pt;width:40.050pt;height:10.95pt;mso-position-horizontal-relative:page;mso-position-vertical-relative:page;z-index:-253904896" type="#_x0000_t202" filled="false" stroked="false">
          <v:textbox inset="0,0,0,0">
            <w:txbxContent>
              <w:p>
                <w:pPr>
                  <w:spacing w:before="14"/>
                  <w:ind w:left="20" w:right="0" w:firstLine="0"/>
                  <w:jc w:val="left"/>
                  <w:rPr>
                    <w:rFonts w:ascii="Arial"/>
                    <w:sz w:val="16"/>
                  </w:rPr>
                </w:pPr>
                <w:r>
                  <w:rPr>
                    <w:rFonts w:ascii="Arial"/>
                    <w:sz w:val="16"/>
                  </w:rPr>
                  <w:t>Exhibit A</w:t>
                </w:r>
                <w:r>
                  <w:rPr/>
                  <w:fldChar w:fldCharType="begin"/>
                </w:r>
                <w:r>
                  <w:rPr>
                    <w:rFonts w:ascii="Arial"/>
                    <w:sz w:val="16"/>
                  </w:rPr>
                  <w:instrText> PAGE </w:instrText>
                </w:r>
                <w:r>
                  <w:rPr/>
                  <w:fldChar w:fldCharType="separate"/>
                </w:r>
                <w:r>
                  <w:rPr/>
                  <w:t>1</w:t>
                </w:r>
                <w:r>
                  <w:rPr/>
                  <w:fldChar w:fldCharType="end"/>
                </w:r>
              </w:p>
            </w:txbxContent>
          </v:textbox>
          <w10:wrap type="none"/>
        </v:shape>
      </w:pict>
    </w:r>
    <w:r>
      <w:rPr/>
      <w:pict>
        <v:shape style="position:absolute;margin-left:477.177032pt;margin-top:754.87384pt;width:63.85pt;height:10.95pt;mso-position-horizontal-relative:page;mso-position-vertical-relative:page;z-index:-253903872"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4.87384pt;width:128.3pt;height:10.95pt;mso-position-horizontal-relative:page;mso-position-vertical-relative:page;z-index:-253902848"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989990pt;margin-top:754.87384pt;width:38.050pt;height:10.95pt;mso-position-horizontal-relative:page;mso-position-vertical-relative:page;z-index:-253901824" type="#_x0000_t202" filled="false" stroked="false">
          <v:textbox inset="0,0,0,0">
            <w:txbxContent>
              <w:p>
                <w:pPr>
                  <w:spacing w:before="14"/>
                  <w:ind w:left="20" w:right="0" w:firstLine="0"/>
                  <w:jc w:val="left"/>
                  <w:rPr>
                    <w:rFonts w:ascii="Arial"/>
                    <w:sz w:val="16"/>
                  </w:rPr>
                </w:pPr>
                <w:r>
                  <w:rPr>
                    <w:rFonts w:ascii="Arial"/>
                    <w:sz w:val="16"/>
                  </w:rPr>
                  <w:t>Exhibit B1</w:t>
                </w:r>
              </w:p>
            </w:txbxContent>
          </v:textbox>
          <w10:wrap type="none"/>
        </v:shape>
      </w:pict>
    </w:r>
    <w:r>
      <w:rPr/>
      <w:pict>
        <v:shape style="position:absolute;margin-left:477.177032pt;margin-top:754.87384pt;width:63.85pt;height:10.95pt;mso-position-horizontal-relative:page;mso-position-vertical-relative:page;z-index:-253900800"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999992pt;margin-top:754.874268pt;width:128.3pt;height:10.95pt;mso-position-horizontal-relative:page;mso-position-vertical-relative:page;z-index:-253899776"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990082pt;margin-top:754.874268pt;width:40.050pt;height:10.95pt;mso-position-horizontal-relative:page;mso-position-vertical-relative:page;z-index:-253898752" type="#_x0000_t202" filled="false" stroked="false">
          <v:textbox inset="0,0,0,0">
            <w:txbxContent>
              <w:p>
                <w:pPr>
                  <w:spacing w:before="14"/>
                  <w:ind w:left="20" w:right="0" w:firstLine="0"/>
                  <w:jc w:val="left"/>
                  <w:rPr>
                    <w:rFonts w:ascii="Arial"/>
                    <w:sz w:val="16"/>
                  </w:rPr>
                </w:pPr>
                <w:r>
                  <w:rPr>
                    <w:rFonts w:ascii="Arial"/>
                    <w:sz w:val="16"/>
                  </w:rPr>
                  <w:t>Exhibit B</w:t>
                </w:r>
                <w:r>
                  <w:rPr/>
                  <w:fldChar w:fldCharType="begin"/>
                </w:r>
                <w:r>
                  <w:rPr>
                    <w:rFonts w:ascii="Arial"/>
                    <w:sz w:val="16"/>
                  </w:rPr>
                  <w:instrText> PAGE </w:instrText>
                </w:r>
                <w:r>
                  <w:rPr/>
                  <w:fldChar w:fldCharType="separate"/>
                </w:r>
                <w:r>
                  <w:rPr/>
                  <w:t>2</w:t>
                </w:r>
                <w:r>
                  <w:rPr/>
                  <w:fldChar w:fldCharType="end"/>
                </w:r>
              </w:p>
            </w:txbxContent>
          </v:textbox>
          <w10:wrap type="none"/>
        </v:shape>
      </w:pict>
    </w:r>
    <w:r>
      <w:rPr/>
      <w:pict>
        <v:shape style="position:absolute;margin-left:477.177246pt;margin-top:754.874268pt;width:63.85pt;height:10.95pt;mso-position-horizontal-relative:page;mso-position-vertical-relative:page;z-index:-253897728"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128.3pt;height:10.95pt;mso-position-horizontal-relative:page;mso-position-vertical-relative:page;z-index:-253896704"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769501pt;margin-top:769.273621pt;width:38.5pt;height:10.95pt;mso-position-horizontal-relative:page;mso-position-vertical-relative:page;z-index:-253895680" type="#_x0000_t202" filled="false" stroked="false">
          <v:textbox inset="0,0,0,0">
            <w:txbxContent>
              <w:p>
                <w:pPr>
                  <w:spacing w:before="14"/>
                  <w:ind w:left="20" w:right="0" w:firstLine="0"/>
                  <w:jc w:val="left"/>
                  <w:rPr>
                    <w:rFonts w:ascii="Arial"/>
                    <w:sz w:val="16"/>
                  </w:rPr>
                </w:pPr>
                <w:r>
                  <w:rPr>
                    <w:rFonts w:ascii="Arial"/>
                    <w:sz w:val="16"/>
                  </w:rPr>
                  <w:t>Exhibit C1</w:t>
                </w:r>
              </w:p>
            </w:txbxContent>
          </v:textbox>
          <w10:wrap type="none"/>
        </v:shape>
      </w:pict>
    </w:r>
    <w:r>
      <w:rPr/>
      <w:pict>
        <v:shape style="position:absolute;margin-left:477.177032pt;margin-top:769.273621pt;width:63.85pt;height:10.95pt;mso-position-horizontal-relative:page;mso-position-vertical-relative:page;z-index:-253894656"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128.3pt;height:10.95pt;mso-position-horizontal-relative:page;mso-position-vertical-relative:page;z-index:-253893632"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769501pt;margin-top:769.273621pt;width:38.5pt;height:10.95pt;mso-position-horizontal-relative:page;mso-position-vertical-relative:page;z-index:-253892608" type="#_x0000_t202" filled="false" stroked="false">
          <v:textbox inset="0,0,0,0">
            <w:txbxContent>
              <w:p>
                <w:pPr>
                  <w:spacing w:before="14"/>
                  <w:ind w:left="20" w:right="0" w:firstLine="0"/>
                  <w:jc w:val="left"/>
                  <w:rPr>
                    <w:rFonts w:ascii="Arial"/>
                    <w:sz w:val="16"/>
                  </w:rPr>
                </w:pPr>
                <w:r>
                  <w:rPr>
                    <w:rFonts w:ascii="Arial"/>
                    <w:sz w:val="16"/>
                  </w:rPr>
                  <w:t>Exhibit C2</w:t>
                </w:r>
              </w:p>
            </w:txbxContent>
          </v:textbox>
          <w10:wrap type="none"/>
        </v:shape>
      </w:pict>
    </w:r>
    <w:r>
      <w:rPr/>
      <w:pict>
        <v:shape style="position:absolute;margin-left:477.177032pt;margin-top:769.273621pt;width:63.85pt;height:10.95pt;mso-position-horizontal-relative:page;mso-position-vertical-relative:page;z-index:-253891584"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128.3pt;height:10.95pt;mso-position-horizontal-relative:page;mso-position-vertical-relative:page;z-index:-253890560"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769501pt;margin-top:769.273621pt;width:38.5pt;height:10.95pt;mso-position-horizontal-relative:page;mso-position-vertical-relative:page;z-index:-253889536" type="#_x0000_t202" filled="false" stroked="false">
          <v:textbox inset="0,0,0,0">
            <w:txbxContent>
              <w:p>
                <w:pPr>
                  <w:spacing w:before="14"/>
                  <w:ind w:left="20" w:right="0" w:firstLine="0"/>
                  <w:jc w:val="left"/>
                  <w:rPr>
                    <w:rFonts w:ascii="Arial"/>
                    <w:sz w:val="16"/>
                  </w:rPr>
                </w:pPr>
                <w:r>
                  <w:rPr>
                    <w:rFonts w:ascii="Arial"/>
                    <w:sz w:val="16"/>
                  </w:rPr>
                  <w:t>Exhibit C3</w:t>
                </w:r>
              </w:p>
            </w:txbxContent>
          </v:textbox>
          <w10:wrap type="none"/>
        </v:shape>
      </w:pict>
    </w:r>
    <w:r>
      <w:rPr/>
      <w:pict>
        <v:shape style="position:absolute;margin-left:477.177032pt;margin-top:769.273621pt;width:63.85pt;height:10.95pt;mso-position-horizontal-relative:page;mso-position-vertical-relative:page;z-index:-253888512"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128.3pt;height:10.95pt;mso-position-horizontal-relative:page;mso-position-vertical-relative:page;z-index:-253887488"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769501pt;margin-top:769.273621pt;width:38.5pt;height:10.95pt;mso-position-horizontal-relative:page;mso-position-vertical-relative:page;z-index:-253886464" type="#_x0000_t202" filled="false" stroked="false">
          <v:textbox inset="0,0,0,0">
            <w:txbxContent>
              <w:p>
                <w:pPr>
                  <w:spacing w:before="14"/>
                  <w:ind w:left="20" w:right="0" w:firstLine="0"/>
                  <w:jc w:val="left"/>
                  <w:rPr>
                    <w:rFonts w:ascii="Arial"/>
                    <w:sz w:val="16"/>
                  </w:rPr>
                </w:pPr>
                <w:r>
                  <w:rPr>
                    <w:rFonts w:ascii="Arial"/>
                    <w:sz w:val="16"/>
                  </w:rPr>
                  <w:t>Exhibit C4</w:t>
                </w:r>
              </w:p>
            </w:txbxContent>
          </v:textbox>
          <w10:wrap type="none"/>
        </v:shape>
      </w:pict>
    </w:r>
    <w:r>
      <w:rPr/>
      <w:pict>
        <v:shape style="position:absolute;margin-left:477.177032pt;margin-top:769.273621pt;width:63.85pt;height:10.95pt;mso-position-horizontal-relative:page;mso-position-vertical-relative:page;z-index:-253885440"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69.273621pt;width:128.3pt;height:10.95pt;mso-position-horizontal-relative:page;mso-position-vertical-relative:page;z-index:-253884416" type="#_x0000_t202" filled="false" stroked="false">
          <v:textbox inset="0,0,0,0">
            <w:txbxContent>
              <w:p>
                <w:pPr>
                  <w:spacing w:before="14"/>
                  <w:ind w:left="20" w:right="0" w:firstLine="0"/>
                  <w:jc w:val="left"/>
                  <w:rPr>
                    <w:rFonts w:ascii="Arial"/>
                    <w:sz w:val="16"/>
                  </w:rPr>
                </w:pPr>
                <w:r>
                  <w:rPr>
                    <w:rFonts w:ascii="Arial"/>
                    <w:sz w:val="16"/>
                  </w:rPr>
                  <w:t>Labor Agenda Winter Meeting 2019</w:t>
                </w:r>
              </w:p>
            </w:txbxContent>
          </v:textbox>
          <w10:wrap type="none"/>
        </v:shape>
      </w:pict>
    </w:r>
    <w:r>
      <w:rPr/>
      <w:pict>
        <v:shape style="position:absolute;margin-left:286.769501pt;margin-top:769.273621pt;width:38.5pt;height:10.95pt;mso-position-horizontal-relative:page;mso-position-vertical-relative:page;z-index:-253883392" type="#_x0000_t202" filled="false" stroked="false">
          <v:textbox inset="0,0,0,0">
            <w:txbxContent>
              <w:p>
                <w:pPr>
                  <w:spacing w:before="14"/>
                  <w:ind w:left="20" w:right="0" w:firstLine="0"/>
                  <w:jc w:val="left"/>
                  <w:rPr>
                    <w:rFonts w:ascii="Arial"/>
                    <w:sz w:val="16"/>
                  </w:rPr>
                </w:pPr>
                <w:r>
                  <w:rPr>
                    <w:rFonts w:ascii="Arial"/>
                    <w:sz w:val="16"/>
                  </w:rPr>
                  <w:t>Exhibit C5</w:t>
                </w:r>
              </w:p>
            </w:txbxContent>
          </v:textbox>
          <w10:wrap type="none"/>
        </v:shape>
      </w:pict>
    </w:r>
    <w:r>
      <w:rPr/>
      <w:pict>
        <v:shape style="position:absolute;margin-left:477.177032pt;margin-top:769.273621pt;width:63.85pt;height:10.95pt;mso-position-horizontal-relative:page;mso-position-vertical-relative:page;z-index:-253882368" type="#_x0000_t202" filled="false" stroked="false">
          <v:textbox inset="0,0,0,0">
            <w:txbxContent>
              <w:p>
                <w:pPr>
                  <w:spacing w:before="14"/>
                  <w:ind w:left="20" w:right="0" w:firstLine="0"/>
                  <w:jc w:val="left"/>
                  <w:rPr>
                    <w:rFonts w:ascii="Arial"/>
                    <w:sz w:val="16"/>
                  </w:rPr>
                </w:pPr>
                <w:r>
                  <w:rPr>
                    <w:rFonts w:ascii="Arial"/>
                    <w:sz w:val="16"/>
                  </w:rPr>
                  <w:t>January 17, 2019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400" w:hanging="301"/>
      </w:pPr>
      <w:rPr>
        <w:rFonts w:hint="default" w:ascii="Arial" w:hAnsi="Arial" w:eastAsia="Arial" w:cs="Arial"/>
        <w:b/>
        <w:bCs/>
        <w:color w:val="231F20"/>
        <w:spacing w:val="-17"/>
        <w:w w:val="100"/>
        <w:sz w:val="22"/>
        <w:szCs w:val="22"/>
        <w:lang w:val="en-US" w:eastAsia="en-US" w:bidi="en-US"/>
      </w:rPr>
    </w:lvl>
    <w:lvl w:ilvl="1">
      <w:start w:val="0"/>
      <w:numFmt w:val="bullet"/>
      <w:lvlText w:val="•"/>
      <w:lvlJc w:val="left"/>
      <w:pPr>
        <w:ind w:left="1114" w:hanging="301"/>
      </w:pPr>
      <w:rPr>
        <w:rFonts w:hint="default"/>
        <w:lang w:val="en-US" w:eastAsia="en-US" w:bidi="en-US"/>
      </w:rPr>
    </w:lvl>
    <w:lvl w:ilvl="2">
      <w:start w:val="0"/>
      <w:numFmt w:val="bullet"/>
      <w:lvlText w:val="•"/>
      <w:lvlJc w:val="left"/>
      <w:pPr>
        <w:ind w:left="1828" w:hanging="301"/>
      </w:pPr>
      <w:rPr>
        <w:rFonts w:hint="default"/>
        <w:lang w:val="en-US" w:eastAsia="en-US" w:bidi="en-US"/>
      </w:rPr>
    </w:lvl>
    <w:lvl w:ilvl="3">
      <w:start w:val="0"/>
      <w:numFmt w:val="bullet"/>
      <w:lvlText w:val="•"/>
      <w:lvlJc w:val="left"/>
      <w:pPr>
        <w:ind w:left="2542" w:hanging="301"/>
      </w:pPr>
      <w:rPr>
        <w:rFonts w:hint="default"/>
        <w:lang w:val="en-US" w:eastAsia="en-US" w:bidi="en-US"/>
      </w:rPr>
    </w:lvl>
    <w:lvl w:ilvl="4">
      <w:start w:val="0"/>
      <w:numFmt w:val="bullet"/>
      <w:lvlText w:val="•"/>
      <w:lvlJc w:val="left"/>
      <w:pPr>
        <w:ind w:left="3256" w:hanging="301"/>
      </w:pPr>
      <w:rPr>
        <w:rFonts w:hint="default"/>
        <w:lang w:val="en-US" w:eastAsia="en-US" w:bidi="en-US"/>
      </w:rPr>
    </w:lvl>
    <w:lvl w:ilvl="5">
      <w:start w:val="0"/>
      <w:numFmt w:val="bullet"/>
      <w:lvlText w:val="•"/>
      <w:lvlJc w:val="left"/>
      <w:pPr>
        <w:ind w:left="3970" w:hanging="301"/>
      </w:pPr>
      <w:rPr>
        <w:rFonts w:hint="default"/>
        <w:lang w:val="en-US" w:eastAsia="en-US" w:bidi="en-US"/>
      </w:rPr>
    </w:lvl>
    <w:lvl w:ilvl="6">
      <w:start w:val="0"/>
      <w:numFmt w:val="bullet"/>
      <w:lvlText w:val="•"/>
      <w:lvlJc w:val="left"/>
      <w:pPr>
        <w:ind w:left="4684" w:hanging="301"/>
      </w:pPr>
      <w:rPr>
        <w:rFonts w:hint="default"/>
        <w:lang w:val="en-US" w:eastAsia="en-US" w:bidi="en-US"/>
      </w:rPr>
    </w:lvl>
    <w:lvl w:ilvl="7">
      <w:start w:val="0"/>
      <w:numFmt w:val="bullet"/>
      <w:lvlText w:val="•"/>
      <w:lvlJc w:val="left"/>
      <w:pPr>
        <w:ind w:left="5398" w:hanging="301"/>
      </w:pPr>
      <w:rPr>
        <w:rFonts w:hint="default"/>
        <w:lang w:val="en-US" w:eastAsia="en-US" w:bidi="en-US"/>
      </w:rPr>
    </w:lvl>
    <w:lvl w:ilvl="8">
      <w:start w:val="0"/>
      <w:numFmt w:val="bullet"/>
      <w:lvlText w:val="•"/>
      <w:lvlJc w:val="left"/>
      <w:pPr>
        <w:ind w:left="6112" w:hanging="301"/>
      </w:pPr>
      <w:rPr>
        <w:rFonts w:hint="default"/>
        <w:lang w:val="en-US" w:eastAsia="en-US" w:bidi="en-US"/>
      </w:rPr>
    </w:lvl>
  </w:abstractNum>
  <w:abstractNum w:abstractNumId="5">
    <w:multiLevelType w:val="hybridMultilevel"/>
    <w:lvl w:ilvl="0">
      <w:start w:val="4"/>
      <w:numFmt w:val="decimal"/>
      <w:lvlText w:val="%1"/>
      <w:lvlJc w:val="left"/>
      <w:pPr>
        <w:ind w:left="2539" w:hanging="379"/>
        <w:jc w:val="left"/>
      </w:pPr>
      <w:rPr>
        <w:rFonts w:hint="default"/>
        <w:lang w:val="en-US" w:eastAsia="en-US" w:bidi="en-US"/>
      </w:rPr>
    </w:lvl>
    <w:lvl w:ilvl="1">
      <w:start w:val="2"/>
      <w:numFmt w:val="decimal"/>
      <w:lvlText w:val="%1.%2"/>
      <w:lvlJc w:val="left"/>
      <w:pPr>
        <w:ind w:left="2539" w:hanging="379"/>
        <w:jc w:val="left"/>
      </w:pPr>
      <w:rPr>
        <w:rFonts w:hint="default" w:ascii="Arial" w:hAnsi="Arial" w:eastAsia="Arial" w:cs="Arial"/>
        <w:spacing w:val="-1"/>
        <w:w w:val="100"/>
        <w:sz w:val="23"/>
        <w:szCs w:val="23"/>
        <w:lang w:val="en-US" w:eastAsia="en-US" w:bidi="en-US"/>
      </w:rPr>
    </w:lvl>
    <w:lvl w:ilvl="2">
      <w:start w:val="0"/>
      <w:numFmt w:val="bullet"/>
      <w:lvlText w:val="•"/>
      <w:lvlJc w:val="left"/>
      <w:pPr>
        <w:ind w:left="4480" w:hanging="379"/>
      </w:pPr>
      <w:rPr>
        <w:rFonts w:hint="default"/>
        <w:lang w:val="en-US" w:eastAsia="en-US" w:bidi="en-US"/>
      </w:rPr>
    </w:lvl>
    <w:lvl w:ilvl="3">
      <w:start w:val="0"/>
      <w:numFmt w:val="bullet"/>
      <w:lvlText w:val="•"/>
      <w:lvlJc w:val="left"/>
      <w:pPr>
        <w:ind w:left="5450" w:hanging="379"/>
      </w:pPr>
      <w:rPr>
        <w:rFonts w:hint="default"/>
        <w:lang w:val="en-US" w:eastAsia="en-US" w:bidi="en-US"/>
      </w:rPr>
    </w:lvl>
    <w:lvl w:ilvl="4">
      <w:start w:val="0"/>
      <w:numFmt w:val="bullet"/>
      <w:lvlText w:val="•"/>
      <w:lvlJc w:val="left"/>
      <w:pPr>
        <w:ind w:left="6420" w:hanging="379"/>
      </w:pPr>
      <w:rPr>
        <w:rFonts w:hint="default"/>
        <w:lang w:val="en-US" w:eastAsia="en-US" w:bidi="en-US"/>
      </w:rPr>
    </w:lvl>
    <w:lvl w:ilvl="5">
      <w:start w:val="0"/>
      <w:numFmt w:val="bullet"/>
      <w:lvlText w:val="•"/>
      <w:lvlJc w:val="left"/>
      <w:pPr>
        <w:ind w:left="7390" w:hanging="379"/>
      </w:pPr>
      <w:rPr>
        <w:rFonts w:hint="default"/>
        <w:lang w:val="en-US" w:eastAsia="en-US" w:bidi="en-US"/>
      </w:rPr>
    </w:lvl>
    <w:lvl w:ilvl="6">
      <w:start w:val="0"/>
      <w:numFmt w:val="bullet"/>
      <w:lvlText w:val="•"/>
      <w:lvlJc w:val="left"/>
      <w:pPr>
        <w:ind w:left="8360" w:hanging="379"/>
      </w:pPr>
      <w:rPr>
        <w:rFonts w:hint="default"/>
        <w:lang w:val="en-US" w:eastAsia="en-US" w:bidi="en-US"/>
      </w:rPr>
    </w:lvl>
    <w:lvl w:ilvl="7">
      <w:start w:val="0"/>
      <w:numFmt w:val="bullet"/>
      <w:lvlText w:val="•"/>
      <w:lvlJc w:val="left"/>
      <w:pPr>
        <w:ind w:left="9330" w:hanging="379"/>
      </w:pPr>
      <w:rPr>
        <w:rFonts w:hint="default"/>
        <w:lang w:val="en-US" w:eastAsia="en-US" w:bidi="en-US"/>
      </w:rPr>
    </w:lvl>
    <w:lvl w:ilvl="8">
      <w:start w:val="0"/>
      <w:numFmt w:val="bullet"/>
      <w:lvlText w:val="•"/>
      <w:lvlJc w:val="left"/>
      <w:pPr>
        <w:ind w:left="10300" w:hanging="379"/>
      </w:pPr>
      <w:rPr>
        <w:rFonts w:hint="default"/>
        <w:lang w:val="en-US" w:eastAsia="en-US" w:bidi="en-US"/>
      </w:rPr>
    </w:lvl>
  </w:abstractNum>
  <w:abstractNum w:abstractNumId="4">
    <w:multiLevelType w:val="hybridMultilevel"/>
    <w:lvl w:ilvl="0">
      <w:start w:val="1"/>
      <w:numFmt w:val="decimal"/>
      <w:lvlText w:val="%1."/>
      <w:lvlJc w:val="left"/>
      <w:pPr>
        <w:ind w:left="1696" w:hanging="257"/>
        <w:jc w:val="left"/>
      </w:pPr>
      <w:rPr>
        <w:rFonts w:hint="default" w:ascii="Arial" w:hAnsi="Arial" w:eastAsia="Arial" w:cs="Arial"/>
        <w:b/>
        <w:bCs/>
        <w:spacing w:val="-1"/>
        <w:w w:val="100"/>
        <w:sz w:val="23"/>
        <w:szCs w:val="23"/>
        <w:lang w:val="en-US" w:eastAsia="en-US" w:bidi="en-US"/>
      </w:rPr>
    </w:lvl>
    <w:lvl w:ilvl="1">
      <w:start w:val="1"/>
      <w:numFmt w:val="decimal"/>
      <w:lvlText w:val="%2."/>
      <w:lvlJc w:val="left"/>
      <w:pPr>
        <w:ind w:left="2416" w:hanging="257"/>
        <w:jc w:val="left"/>
      </w:pPr>
      <w:rPr>
        <w:rFonts w:hint="default" w:ascii="Arial" w:hAnsi="Arial" w:eastAsia="Arial" w:cs="Arial"/>
        <w:b/>
        <w:bCs/>
        <w:spacing w:val="-1"/>
        <w:w w:val="100"/>
        <w:sz w:val="23"/>
        <w:szCs w:val="23"/>
        <w:lang w:val="en-US" w:eastAsia="en-US" w:bidi="en-US"/>
      </w:rPr>
    </w:lvl>
    <w:lvl w:ilvl="2">
      <w:start w:val="1"/>
      <w:numFmt w:val="decimal"/>
      <w:lvlText w:val="%2.%3"/>
      <w:lvlJc w:val="left"/>
      <w:pPr>
        <w:ind w:left="2543" w:hanging="384"/>
        <w:jc w:val="left"/>
      </w:pPr>
      <w:rPr>
        <w:rFonts w:hint="default" w:ascii="Arial" w:hAnsi="Arial" w:eastAsia="Arial" w:cs="Arial"/>
        <w:spacing w:val="-1"/>
        <w:w w:val="100"/>
        <w:sz w:val="23"/>
        <w:szCs w:val="23"/>
        <w:lang w:val="en-US" w:eastAsia="en-US" w:bidi="en-US"/>
      </w:rPr>
    </w:lvl>
    <w:lvl w:ilvl="3">
      <w:start w:val="0"/>
      <w:numFmt w:val="bullet"/>
      <w:lvlText w:val="•"/>
      <w:lvlJc w:val="left"/>
      <w:pPr>
        <w:ind w:left="3752" w:hanging="384"/>
      </w:pPr>
      <w:rPr>
        <w:rFonts w:hint="default"/>
        <w:lang w:val="en-US" w:eastAsia="en-US" w:bidi="en-US"/>
      </w:rPr>
    </w:lvl>
    <w:lvl w:ilvl="4">
      <w:start w:val="0"/>
      <w:numFmt w:val="bullet"/>
      <w:lvlText w:val="•"/>
      <w:lvlJc w:val="left"/>
      <w:pPr>
        <w:ind w:left="4965" w:hanging="384"/>
      </w:pPr>
      <w:rPr>
        <w:rFonts w:hint="default"/>
        <w:lang w:val="en-US" w:eastAsia="en-US" w:bidi="en-US"/>
      </w:rPr>
    </w:lvl>
    <w:lvl w:ilvl="5">
      <w:start w:val="0"/>
      <w:numFmt w:val="bullet"/>
      <w:lvlText w:val="•"/>
      <w:lvlJc w:val="left"/>
      <w:pPr>
        <w:ind w:left="6177" w:hanging="384"/>
      </w:pPr>
      <w:rPr>
        <w:rFonts w:hint="default"/>
        <w:lang w:val="en-US" w:eastAsia="en-US" w:bidi="en-US"/>
      </w:rPr>
    </w:lvl>
    <w:lvl w:ilvl="6">
      <w:start w:val="0"/>
      <w:numFmt w:val="bullet"/>
      <w:lvlText w:val="•"/>
      <w:lvlJc w:val="left"/>
      <w:pPr>
        <w:ind w:left="7390" w:hanging="384"/>
      </w:pPr>
      <w:rPr>
        <w:rFonts w:hint="default"/>
        <w:lang w:val="en-US" w:eastAsia="en-US" w:bidi="en-US"/>
      </w:rPr>
    </w:lvl>
    <w:lvl w:ilvl="7">
      <w:start w:val="0"/>
      <w:numFmt w:val="bullet"/>
      <w:lvlText w:val="•"/>
      <w:lvlJc w:val="left"/>
      <w:pPr>
        <w:ind w:left="8602" w:hanging="384"/>
      </w:pPr>
      <w:rPr>
        <w:rFonts w:hint="default"/>
        <w:lang w:val="en-US" w:eastAsia="en-US" w:bidi="en-US"/>
      </w:rPr>
    </w:lvl>
    <w:lvl w:ilvl="8">
      <w:start w:val="0"/>
      <w:numFmt w:val="bullet"/>
      <w:lvlText w:val="•"/>
      <w:lvlJc w:val="left"/>
      <w:pPr>
        <w:ind w:left="9815" w:hanging="384"/>
      </w:pPr>
      <w:rPr>
        <w:rFonts w:hint="default"/>
        <w:lang w:val="en-US" w:eastAsia="en-US" w:bidi="en-US"/>
      </w:rPr>
    </w:lvl>
  </w:abstractNum>
  <w:abstractNum w:abstractNumId="3">
    <w:multiLevelType w:val="hybridMultilevel"/>
    <w:lvl w:ilvl="0">
      <w:start w:val="1"/>
      <w:numFmt w:val="decimal"/>
      <w:lvlText w:val="%1."/>
      <w:lvlJc w:val="left"/>
      <w:pPr>
        <w:ind w:left="2160" w:hanging="360"/>
        <w:jc w:val="left"/>
      </w:pPr>
      <w:rPr>
        <w:rFonts w:hint="default" w:ascii="Tahoma" w:hAnsi="Tahoma" w:eastAsia="Tahoma" w:cs="Tahoma"/>
        <w:spacing w:val="-2"/>
        <w:w w:val="99"/>
        <w:sz w:val="24"/>
        <w:szCs w:val="24"/>
        <w:lang w:val="en-US" w:eastAsia="en-US" w:bidi="en-US"/>
      </w:rPr>
    </w:lvl>
    <w:lvl w:ilvl="1">
      <w:start w:val="1"/>
      <w:numFmt w:val="lowerLetter"/>
      <w:lvlText w:val="%2."/>
      <w:lvlJc w:val="left"/>
      <w:pPr>
        <w:ind w:left="2880" w:hanging="360"/>
        <w:jc w:val="left"/>
      </w:pPr>
      <w:rPr>
        <w:rFonts w:hint="default" w:ascii="Tahoma" w:hAnsi="Tahoma" w:eastAsia="Tahoma" w:cs="Tahoma"/>
        <w:spacing w:val="-3"/>
        <w:w w:val="99"/>
        <w:sz w:val="24"/>
        <w:szCs w:val="24"/>
        <w:lang w:val="en-US" w:eastAsia="en-US" w:bidi="en-US"/>
      </w:rPr>
    </w:lvl>
    <w:lvl w:ilvl="2">
      <w:start w:val="0"/>
      <w:numFmt w:val="bullet"/>
      <w:lvlText w:val="•"/>
      <w:lvlJc w:val="left"/>
      <w:pPr>
        <w:ind w:left="2880" w:hanging="360"/>
      </w:pPr>
      <w:rPr>
        <w:rFonts w:hint="default"/>
        <w:lang w:val="en-US" w:eastAsia="en-US" w:bidi="en-US"/>
      </w:rPr>
    </w:lvl>
    <w:lvl w:ilvl="3">
      <w:start w:val="0"/>
      <w:numFmt w:val="bullet"/>
      <w:lvlText w:val="•"/>
      <w:lvlJc w:val="left"/>
      <w:pPr>
        <w:ind w:left="4050" w:hanging="360"/>
      </w:pPr>
      <w:rPr>
        <w:rFonts w:hint="default"/>
        <w:lang w:val="en-US" w:eastAsia="en-US" w:bidi="en-US"/>
      </w:rPr>
    </w:lvl>
    <w:lvl w:ilvl="4">
      <w:start w:val="0"/>
      <w:numFmt w:val="bullet"/>
      <w:lvlText w:val="•"/>
      <w:lvlJc w:val="left"/>
      <w:pPr>
        <w:ind w:left="5220" w:hanging="360"/>
      </w:pPr>
      <w:rPr>
        <w:rFonts w:hint="default"/>
        <w:lang w:val="en-US" w:eastAsia="en-US" w:bidi="en-US"/>
      </w:rPr>
    </w:lvl>
    <w:lvl w:ilvl="5">
      <w:start w:val="0"/>
      <w:numFmt w:val="bullet"/>
      <w:lvlText w:val="•"/>
      <w:lvlJc w:val="left"/>
      <w:pPr>
        <w:ind w:left="6390" w:hanging="360"/>
      </w:pPr>
      <w:rPr>
        <w:rFonts w:hint="default"/>
        <w:lang w:val="en-US" w:eastAsia="en-US" w:bidi="en-US"/>
      </w:rPr>
    </w:lvl>
    <w:lvl w:ilvl="6">
      <w:start w:val="0"/>
      <w:numFmt w:val="bullet"/>
      <w:lvlText w:val="•"/>
      <w:lvlJc w:val="left"/>
      <w:pPr>
        <w:ind w:left="7560" w:hanging="360"/>
      </w:pPr>
      <w:rPr>
        <w:rFonts w:hint="default"/>
        <w:lang w:val="en-US" w:eastAsia="en-US" w:bidi="en-US"/>
      </w:rPr>
    </w:lvl>
    <w:lvl w:ilvl="7">
      <w:start w:val="0"/>
      <w:numFmt w:val="bullet"/>
      <w:lvlText w:val="•"/>
      <w:lvlJc w:val="left"/>
      <w:pPr>
        <w:ind w:left="8730" w:hanging="360"/>
      </w:pPr>
      <w:rPr>
        <w:rFonts w:hint="default"/>
        <w:lang w:val="en-US" w:eastAsia="en-US" w:bidi="en-US"/>
      </w:rPr>
    </w:lvl>
    <w:lvl w:ilvl="8">
      <w:start w:val="0"/>
      <w:numFmt w:val="bullet"/>
      <w:lvlText w:val="•"/>
      <w:lvlJc w:val="left"/>
      <w:pPr>
        <w:ind w:left="9900" w:hanging="360"/>
      </w:pPr>
      <w:rPr>
        <w:rFonts w:hint="default"/>
        <w:lang w:val="en-US" w:eastAsia="en-US" w:bidi="en-US"/>
      </w:rPr>
    </w:lvl>
  </w:abstractNum>
  <w:abstractNum w:abstractNumId="2">
    <w:multiLevelType w:val="hybridMultilevel"/>
    <w:lvl w:ilvl="0">
      <w:start w:val="0"/>
      <w:numFmt w:val="bullet"/>
      <w:lvlText w:val=""/>
      <w:lvlJc w:val="left"/>
      <w:pPr>
        <w:ind w:left="1440" w:hanging="360"/>
      </w:pPr>
      <w:rPr>
        <w:rFonts w:hint="default" w:ascii="Symbol" w:hAnsi="Symbol" w:eastAsia="Symbol" w:cs="Symbol"/>
        <w:w w:val="100"/>
        <w:sz w:val="24"/>
        <w:szCs w:val="24"/>
        <w:lang w:val="en-US" w:eastAsia="en-US" w:bidi="en-US"/>
      </w:rPr>
    </w:lvl>
    <w:lvl w:ilvl="1">
      <w:start w:val="0"/>
      <w:numFmt w:val="bullet"/>
      <w:lvlText w:val=""/>
      <w:lvlJc w:val="left"/>
      <w:pPr>
        <w:ind w:left="1799" w:hanging="360"/>
      </w:pPr>
      <w:rPr>
        <w:rFonts w:hint="default" w:ascii="Symbol" w:hAnsi="Symbol" w:eastAsia="Symbol" w:cs="Symbol"/>
        <w:w w:val="100"/>
        <w:sz w:val="20"/>
        <w:szCs w:val="20"/>
        <w:lang w:val="en-US" w:eastAsia="en-US" w:bidi="en-US"/>
      </w:rPr>
    </w:lvl>
    <w:lvl w:ilvl="2">
      <w:start w:val="0"/>
      <w:numFmt w:val="bullet"/>
      <w:lvlText w:val="•"/>
      <w:lvlJc w:val="left"/>
      <w:pPr>
        <w:ind w:left="2960" w:hanging="360"/>
      </w:pPr>
      <w:rPr>
        <w:rFonts w:hint="default"/>
        <w:lang w:val="en-US" w:eastAsia="en-US" w:bidi="en-US"/>
      </w:rPr>
    </w:lvl>
    <w:lvl w:ilvl="3">
      <w:start w:val="0"/>
      <w:numFmt w:val="bullet"/>
      <w:lvlText w:val="•"/>
      <w:lvlJc w:val="left"/>
      <w:pPr>
        <w:ind w:left="4120" w:hanging="360"/>
      </w:pPr>
      <w:rPr>
        <w:rFonts w:hint="default"/>
        <w:lang w:val="en-US" w:eastAsia="en-US" w:bidi="en-US"/>
      </w:rPr>
    </w:lvl>
    <w:lvl w:ilvl="4">
      <w:start w:val="0"/>
      <w:numFmt w:val="bullet"/>
      <w:lvlText w:val="•"/>
      <w:lvlJc w:val="left"/>
      <w:pPr>
        <w:ind w:left="5280" w:hanging="360"/>
      </w:pPr>
      <w:rPr>
        <w:rFonts w:hint="default"/>
        <w:lang w:val="en-US" w:eastAsia="en-US" w:bidi="en-US"/>
      </w:rPr>
    </w:lvl>
    <w:lvl w:ilvl="5">
      <w:start w:val="0"/>
      <w:numFmt w:val="bullet"/>
      <w:lvlText w:val="•"/>
      <w:lvlJc w:val="left"/>
      <w:pPr>
        <w:ind w:left="6440" w:hanging="360"/>
      </w:pPr>
      <w:rPr>
        <w:rFonts w:hint="default"/>
        <w:lang w:val="en-US" w:eastAsia="en-US" w:bidi="en-US"/>
      </w:rPr>
    </w:lvl>
    <w:lvl w:ilvl="6">
      <w:start w:val="0"/>
      <w:numFmt w:val="bullet"/>
      <w:lvlText w:val="•"/>
      <w:lvlJc w:val="left"/>
      <w:pPr>
        <w:ind w:left="7600" w:hanging="360"/>
      </w:pPr>
      <w:rPr>
        <w:rFonts w:hint="default"/>
        <w:lang w:val="en-US" w:eastAsia="en-US" w:bidi="en-US"/>
      </w:rPr>
    </w:lvl>
    <w:lvl w:ilvl="7">
      <w:start w:val="0"/>
      <w:numFmt w:val="bullet"/>
      <w:lvlText w:val="•"/>
      <w:lvlJc w:val="left"/>
      <w:pPr>
        <w:ind w:left="8760" w:hanging="360"/>
      </w:pPr>
      <w:rPr>
        <w:rFonts w:hint="default"/>
        <w:lang w:val="en-US" w:eastAsia="en-US" w:bidi="en-US"/>
      </w:rPr>
    </w:lvl>
    <w:lvl w:ilvl="8">
      <w:start w:val="0"/>
      <w:numFmt w:val="bullet"/>
      <w:lvlText w:val="•"/>
      <w:lvlJc w:val="left"/>
      <w:pPr>
        <w:ind w:left="9920" w:hanging="360"/>
      </w:pPr>
      <w:rPr>
        <w:rFonts w:hint="default"/>
        <w:lang w:val="en-US" w:eastAsia="en-US" w:bidi="en-US"/>
      </w:rPr>
    </w:lvl>
  </w:abstractNum>
  <w:abstractNum w:abstractNumId="1">
    <w:multiLevelType w:val="hybridMultilevel"/>
    <w:lvl w:ilvl="0">
      <w:start w:val="1"/>
      <w:numFmt w:val="upperRoman"/>
      <w:lvlText w:val="%1."/>
      <w:lvlJc w:val="left"/>
      <w:pPr>
        <w:ind w:left="1880" w:hanging="720"/>
        <w:jc w:val="left"/>
      </w:pPr>
      <w:rPr>
        <w:rFonts w:hint="default" w:ascii="Cambria" w:hAnsi="Cambria" w:eastAsia="Cambria" w:cs="Cambria"/>
        <w:b/>
        <w:bCs/>
        <w:w w:val="127"/>
        <w:sz w:val="24"/>
        <w:szCs w:val="24"/>
        <w:lang w:val="en-US" w:eastAsia="en-US" w:bidi="en-US"/>
      </w:rPr>
    </w:lvl>
    <w:lvl w:ilvl="1">
      <w:start w:val="0"/>
      <w:numFmt w:val="bullet"/>
      <w:lvlText w:val="•"/>
      <w:lvlJc w:val="left"/>
      <w:pPr>
        <w:ind w:left="2139" w:hanging="720"/>
      </w:pPr>
      <w:rPr>
        <w:rFonts w:hint="default"/>
        <w:lang w:val="en-US" w:eastAsia="en-US" w:bidi="en-US"/>
      </w:rPr>
    </w:lvl>
    <w:lvl w:ilvl="2">
      <w:start w:val="0"/>
      <w:numFmt w:val="bullet"/>
      <w:lvlText w:val="•"/>
      <w:lvlJc w:val="left"/>
      <w:pPr>
        <w:ind w:left="2399" w:hanging="720"/>
      </w:pPr>
      <w:rPr>
        <w:rFonts w:hint="default"/>
        <w:lang w:val="en-US" w:eastAsia="en-US" w:bidi="en-US"/>
      </w:rPr>
    </w:lvl>
    <w:lvl w:ilvl="3">
      <w:start w:val="0"/>
      <w:numFmt w:val="bullet"/>
      <w:lvlText w:val="•"/>
      <w:lvlJc w:val="left"/>
      <w:pPr>
        <w:ind w:left="2659" w:hanging="720"/>
      </w:pPr>
      <w:rPr>
        <w:rFonts w:hint="default"/>
        <w:lang w:val="en-US" w:eastAsia="en-US" w:bidi="en-US"/>
      </w:rPr>
    </w:lvl>
    <w:lvl w:ilvl="4">
      <w:start w:val="0"/>
      <w:numFmt w:val="bullet"/>
      <w:lvlText w:val="•"/>
      <w:lvlJc w:val="left"/>
      <w:pPr>
        <w:ind w:left="2918" w:hanging="720"/>
      </w:pPr>
      <w:rPr>
        <w:rFonts w:hint="default"/>
        <w:lang w:val="en-US" w:eastAsia="en-US" w:bidi="en-US"/>
      </w:rPr>
    </w:lvl>
    <w:lvl w:ilvl="5">
      <w:start w:val="0"/>
      <w:numFmt w:val="bullet"/>
      <w:lvlText w:val="•"/>
      <w:lvlJc w:val="left"/>
      <w:pPr>
        <w:ind w:left="3178" w:hanging="720"/>
      </w:pPr>
      <w:rPr>
        <w:rFonts w:hint="default"/>
        <w:lang w:val="en-US" w:eastAsia="en-US" w:bidi="en-US"/>
      </w:rPr>
    </w:lvl>
    <w:lvl w:ilvl="6">
      <w:start w:val="0"/>
      <w:numFmt w:val="bullet"/>
      <w:lvlText w:val="•"/>
      <w:lvlJc w:val="left"/>
      <w:pPr>
        <w:ind w:left="3438" w:hanging="720"/>
      </w:pPr>
      <w:rPr>
        <w:rFonts w:hint="default"/>
        <w:lang w:val="en-US" w:eastAsia="en-US" w:bidi="en-US"/>
      </w:rPr>
    </w:lvl>
    <w:lvl w:ilvl="7">
      <w:start w:val="0"/>
      <w:numFmt w:val="bullet"/>
      <w:lvlText w:val="•"/>
      <w:lvlJc w:val="left"/>
      <w:pPr>
        <w:ind w:left="3697" w:hanging="720"/>
      </w:pPr>
      <w:rPr>
        <w:rFonts w:hint="default"/>
        <w:lang w:val="en-US" w:eastAsia="en-US" w:bidi="en-US"/>
      </w:rPr>
    </w:lvl>
    <w:lvl w:ilvl="8">
      <w:start w:val="0"/>
      <w:numFmt w:val="bullet"/>
      <w:lvlText w:val="•"/>
      <w:lvlJc w:val="left"/>
      <w:pPr>
        <w:ind w:left="3957" w:hanging="720"/>
      </w:pPr>
      <w:rPr>
        <w:rFonts w:hint="default"/>
        <w:lang w:val="en-US" w:eastAsia="en-US" w:bidi="en-US"/>
      </w:rPr>
    </w:lvl>
  </w:abstractNum>
  <w:abstractNum w:abstractNumId="0">
    <w:multiLevelType w:val="hybridMultilevel"/>
    <w:lvl w:ilvl="0">
      <w:start w:val="1"/>
      <w:numFmt w:val="upperRoman"/>
      <w:lvlText w:val="%1."/>
      <w:lvlJc w:val="left"/>
      <w:pPr>
        <w:ind w:left="1520" w:hanging="720"/>
        <w:jc w:val="left"/>
      </w:pPr>
      <w:rPr>
        <w:rFonts w:hint="default" w:ascii="Times New Roman" w:hAnsi="Times New Roman" w:eastAsia="Times New Roman" w:cs="Times New Roman"/>
        <w:b/>
        <w:bCs/>
        <w:spacing w:val="-1"/>
        <w:w w:val="99"/>
        <w:sz w:val="24"/>
        <w:szCs w:val="24"/>
        <w:lang w:val="en-US" w:eastAsia="en-US" w:bidi="en-US"/>
      </w:rPr>
    </w:lvl>
    <w:lvl w:ilvl="1">
      <w:start w:val="1"/>
      <w:numFmt w:val="upperLetter"/>
      <w:lvlText w:val="%2."/>
      <w:lvlJc w:val="left"/>
      <w:pPr>
        <w:ind w:left="2331" w:hanging="812"/>
        <w:jc w:val="left"/>
      </w:pPr>
      <w:rPr>
        <w:rFonts w:hint="default"/>
        <w:spacing w:val="-1"/>
        <w:w w:val="99"/>
        <w:lang w:val="en-US" w:eastAsia="en-US" w:bidi="en-US"/>
      </w:rPr>
    </w:lvl>
    <w:lvl w:ilvl="2">
      <w:start w:val="0"/>
      <w:numFmt w:val="bullet"/>
      <w:lvlText w:val="•"/>
      <w:lvlJc w:val="left"/>
      <w:pPr>
        <w:ind w:left="2240" w:hanging="812"/>
      </w:pPr>
      <w:rPr>
        <w:rFonts w:hint="default"/>
        <w:lang w:val="en-US" w:eastAsia="en-US" w:bidi="en-US"/>
      </w:rPr>
    </w:lvl>
    <w:lvl w:ilvl="3">
      <w:start w:val="0"/>
      <w:numFmt w:val="bullet"/>
      <w:lvlText w:val="•"/>
      <w:lvlJc w:val="left"/>
      <w:pPr>
        <w:ind w:left="2340" w:hanging="812"/>
      </w:pPr>
      <w:rPr>
        <w:rFonts w:hint="default"/>
        <w:lang w:val="en-US" w:eastAsia="en-US" w:bidi="en-US"/>
      </w:rPr>
    </w:lvl>
    <w:lvl w:ilvl="4">
      <w:start w:val="0"/>
      <w:numFmt w:val="bullet"/>
      <w:lvlText w:val="•"/>
      <w:lvlJc w:val="left"/>
      <w:pPr>
        <w:ind w:left="3660" w:hanging="812"/>
      </w:pPr>
      <w:rPr>
        <w:rFonts w:hint="default"/>
        <w:lang w:val="en-US" w:eastAsia="en-US" w:bidi="en-US"/>
      </w:rPr>
    </w:lvl>
    <w:lvl w:ilvl="5">
      <w:start w:val="0"/>
      <w:numFmt w:val="bullet"/>
      <w:lvlText w:val="•"/>
      <w:lvlJc w:val="left"/>
      <w:pPr>
        <w:ind w:left="4980" w:hanging="812"/>
      </w:pPr>
      <w:rPr>
        <w:rFonts w:hint="default"/>
        <w:lang w:val="en-US" w:eastAsia="en-US" w:bidi="en-US"/>
      </w:rPr>
    </w:lvl>
    <w:lvl w:ilvl="6">
      <w:start w:val="0"/>
      <w:numFmt w:val="bullet"/>
      <w:lvlText w:val="•"/>
      <w:lvlJc w:val="left"/>
      <w:pPr>
        <w:ind w:left="6300" w:hanging="812"/>
      </w:pPr>
      <w:rPr>
        <w:rFonts w:hint="default"/>
        <w:lang w:val="en-US" w:eastAsia="en-US" w:bidi="en-US"/>
      </w:rPr>
    </w:lvl>
    <w:lvl w:ilvl="7">
      <w:start w:val="0"/>
      <w:numFmt w:val="bullet"/>
      <w:lvlText w:val="•"/>
      <w:lvlJc w:val="left"/>
      <w:pPr>
        <w:ind w:left="7620" w:hanging="812"/>
      </w:pPr>
      <w:rPr>
        <w:rFonts w:hint="default"/>
        <w:lang w:val="en-US" w:eastAsia="en-US" w:bidi="en-US"/>
      </w:rPr>
    </w:lvl>
    <w:lvl w:ilvl="8">
      <w:start w:val="0"/>
      <w:numFmt w:val="bullet"/>
      <w:lvlText w:val="•"/>
      <w:lvlJc w:val="left"/>
      <w:pPr>
        <w:ind w:left="8940" w:hanging="812"/>
      </w:pPr>
      <w:rPr>
        <w:rFonts w:hint="default"/>
        <w:lang w:val="en-US" w:eastAsia="en-US" w:bidi="en-U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Cambria" w:hAnsi="Cambria" w:eastAsia="Cambria" w:cs="Cambria"/>
      <w:sz w:val="24"/>
      <w:szCs w:val="24"/>
      <w:lang w:val="en-US" w:eastAsia="en-US" w:bidi="en-US"/>
    </w:rPr>
  </w:style>
  <w:style w:styleId="Heading1" w:type="paragraph">
    <w:name w:val="Heading 1"/>
    <w:basedOn w:val="Normal"/>
    <w:uiPriority w:val="1"/>
    <w:qFormat/>
    <w:pPr>
      <w:spacing w:before="89"/>
      <w:ind w:left="99"/>
      <w:jc w:val="center"/>
      <w:outlineLvl w:val="1"/>
    </w:pPr>
    <w:rPr>
      <w:rFonts w:ascii="Arial" w:hAnsi="Arial" w:eastAsia="Arial" w:cs="Arial"/>
      <w:b/>
      <w:bCs/>
      <w:sz w:val="40"/>
      <w:szCs w:val="40"/>
      <w:lang w:val="en-US" w:eastAsia="en-US" w:bidi="en-US"/>
    </w:rPr>
  </w:style>
  <w:style w:styleId="Heading2" w:type="paragraph">
    <w:name w:val="Heading 2"/>
    <w:basedOn w:val="Normal"/>
    <w:uiPriority w:val="1"/>
    <w:qFormat/>
    <w:pPr>
      <w:ind w:left="3286" w:right="1491"/>
      <w:jc w:val="center"/>
      <w:outlineLvl w:val="2"/>
    </w:pPr>
    <w:rPr>
      <w:rFonts w:ascii="Arial" w:hAnsi="Arial" w:eastAsia="Arial" w:cs="Arial"/>
      <w:b/>
      <w:bCs/>
      <w:sz w:val="36"/>
      <w:szCs w:val="36"/>
      <w:lang w:val="en-US" w:eastAsia="en-US" w:bidi="en-US"/>
    </w:rPr>
  </w:style>
  <w:style w:styleId="Heading3" w:type="paragraph">
    <w:name w:val="Heading 3"/>
    <w:basedOn w:val="Normal"/>
    <w:uiPriority w:val="1"/>
    <w:qFormat/>
    <w:pPr>
      <w:ind w:left="1593" w:right="1491"/>
      <w:jc w:val="center"/>
      <w:outlineLvl w:val="3"/>
    </w:pPr>
    <w:rPr>
      <w:rFonts w:ascii="Times New Roman" w:hAnsi="Times New Roman" w:eastAsia="Times New Roman" w:cs="Times New Roman"/>
      <w:b/>
      <w:bCs/>
      <w:sz w:val="28"/>
      <w:szCs w:val="28"/>
      <w:lang w:val="en-US" w:eastAsia="en-US" w:bidi="en-US"/>
    </w:rPr>
  </w:style>
  <w:style w:styleId="Heading4" w:type="paragraph">
    <w:name w:val="Heading 4"/>
    <w:basedOn w:val="Normal"/>
    <w:uiPriority w:val="1"/>
    <w:qFormat/>
    <w:pPr>
      <w:spacing w:before="1"/>
      <w:ind w:left="88" w:right="1491"/>
      <w:jc w:val="center"/>
      <w:outlineLvl w:val="4"/>
    </w:pPr>
    <w:rPr>
      <w:rFonts w:ascii="Times New Roman" w:hAnsi="Times New Roman" w:eastAsia="Times New Roman" w:cs="Times New Roman"/>
      <w:sz w:val="28"/>
      <w:szCs w:val="28"/>
      <w:lang w:val="en-US" w:eastAsia="en-US" w:bidi="en-US"/>
    </w:rPr>
  </w:style>
  <w:style w:styleId="Heading5" w:type="paragraph">
    <w:name w:val="Heading 5"/>
    <w:basedOn w:val="Normal"/>
    <w:uiPriority w:val="1"/>
    <w:qFormat/>
    <w:pPr>
      <w:ind w:left="753" w:right="1494"/>
      <w:jc w:val="center"/>
      <w:outlineLvl w:val="5"/>
    </w:pPr>
    <w:rPr>
      <w:rFonts w:ascii="Arial" w:hAnsi="Arial" w:eastAsia="Arial" w:cs="Arial"/>
      <w:b/>
      <w:bCs/>
      <w:sz w:val="25"/>
      <w:szCs w:val="25"/>
      <w:lang w:val="en-US" w:eastAsia="en-US" w:bidi="en-US"/>
    </w:rPr>
  </w:style>
  <w:style w:styleId="Heading6" w:type="paragraph">
    <w:name w:val="Heading 6"/>
    <w:basedOn w:val="Normal"/>
    <w:uiPriority w:val="1"/>
    <w:qFormat/>
    <w:pPr>
      <w:ind w:left="1880"/>
      <w:jc w:val="center"/>
      <w:outlineLvl w:val="6"/>
    </w:pPr>
    <w:rPr>
      <w:rFonts w:ascii="Arial" w:hAnsi="Arial" w:eastAsia="Arial" w:cs="Arial"/>
      <w:b/>
      <w:bCs/>
      <w:sz w:val="24"/>
      <w:szCs w:val="24"/>
      <w:lang w:val="en-US" w:eastAsia="en-US" w:bidi="en-US"/>
    </w:rPr>
  </w:style>
  <w:style w:styleId="Heading7" w:type="paragraph">
    <w:name w:val="Heading 7"/>
    <w:basedOn w:val="Normal"/>
    <w:uiPriority w:val="1"/>
    <w:qFormat/>
    <w:pPr>
      <w:ind w:left="3286" w:right="3286"/>
      <w:jc w:val="center"/>
      <w:outlineLvl w:val="7"/>
    </w:pPr>
    <w:rPr>
      <w:rFonts w:ascii="Times New Roman" w:hAnsi="Times New Roman" w:eastAsia="Times New Roman" w:cs="Times New Roman"/>
      <w:b/>
      <w:bCs/>
      <w:i/>
      <w:sz w:val="24"/>
      <w:szCs w:val="24"/>
      <w:lang w:val="en-US" w:eastAsia="en-US" w:bidi="en-US"/>
    </w:rPr>
  </w:style>
  <w:style w:styleId="ListParagraph" w:type="paragraph">
    <w:name w:val="List Paragraph"/>
    <w:basedOn w:val="Normal"/>
    <w:uiPriority w:val="1"/>
    <w:qFormat/>
    <w:pPr>
      <w:ind w:left="2543" w:hanging="360"/>
    </w:pPr>
    <w:rPr>
      <w:rFonts w:ascii="Tahoma" w:hAnsi="Tahoma" w:eastAsia="Tahoma" w:cs="Tahoma"/>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4.png"/><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image" Target="media/image5.png"/><Relationship Id="rId23" Type="http://schemas.openxmlformats.org/officeDocument/2006/relationships/footer" Target="footer14.xm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png"/><Relationship Id="rId27" Type="http://schemas.openxmlformats.org/officeDocument/2006/relationships/footer" Target="footer15.xml"/><Relationship Id="rId28" Type="http://schemas.openxmlformats.org/officeDocument/2006/relationships/image" Target="media/image9.jpeg"/><Relationship Id="rId29" Type="http://schemas.openxmlformats.org/officeDocument/2006/relationships/footer" Target="footer16.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footer" Target="footer17.xml"/><Relationship Id="rId33" Type="http://schemas.openxmlformats.org/officeDocument/2006/relationships/image" Target="media/image12.png"/><Relationship Id="rId34" Type="http://schemas.openxmlformats.org/officeDocument/2006/relationships/footer" Target="footer18.xml"/><Relationship Id="rId35" Type="http://schemas.openxmlformats.org/officeDocument/2006/relationships/image" Target="media/image13.png"/><Relationship Id="rId36" Type="http://schemas.openxmlformats.org/officeDocument/2006/relationships/hyperlink" Target="https://tfb.inreachce.com/Details/Information/4b16ef80-b62e-40c3-b952-5a74c09e9397" TargetMode="External"/><Relationship Id="rId37" Type="http://schemas.openxmlformats.org/officeDocument/2006/relationships/hyperlink" Target="https://tfb.inreachce.com/Details/Information/413f9ef1-757f-47df-ba35-7a9dfc57b38b" TargetMode="External"/><Relationship Id="rId38" Type="http://schemas.openxmlformats.org/officeDocument/2006/relationships/hyperlink" Target="https://tfb.inreachce.com/Details/Information/cf2d67b5-80b2-4a3f-bd90-3240b1a38479" TargetMode="External"/><Relationship Id="rId39" Type="http://schemas.openxmlformats.org/officeDocument/2006/relationships/hyperlink" Target="https://tfb.inreachce.com/Details/Information/7afda513-7705-4c2e-ba79-13ffbff58645" TargetMode="External"/><Relationship Id="rId40" Type="http://schemas.openxmlformats.org/officeDocument/2006/relationships/hyperlink" Target="https://tfb.inreachce.com/Details/Information/54b75e1f-de69-4e14-a525-a42bc145e153" TargetMode="External"/><Relationship Id="rId41" Type="http://schemas.openxmlformats.org/officeDocument/2006/relationships/hyperlink" Target="http://www.member.floridabar.org/" TargetMode="External"/><Relationship Id="rId42" Type="http://schemas.openxmlformats.org/officeDocument/2006/relationships/footer" Target="footer19.xml"/><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jpeg"/><Relationship Id="rId49" Type="http://schemas.openxmlformats.org/officeDocument/2006/relationships/footer" Target="footer20.xml"/><Relationship Id="rId50" Type="http://schemas.openxmlformats.org/officeDocument/2006/relationships/image" Target="media/image20.jpe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Kaye Crum</dc:creator>
  <dcterms:created xsi:type="dcterms:W3CDTF">2019-04-09T14:36:19Z</dcterms:created>
  <dcterms:modified xsi:type="dcterms:W3CDTF">2019-04-09T14:36:19Z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2019-01-16T00:00:00Z</vt:filetime>
  </property>
  <property fmtid="{D5CDD505-2E9C-101B-9397-08002B2CF9AE}" pid="3" name="Creator">
    <vt:lpwstr>Adobe Acrobat Pro 11.0.20</vt:lpwstr>
  </property>
  <property fmtid="{D5CDD505-2E9C-101B-9397-08002B2CF9AE}" pid="4" name="LastSaved">
    <vt:filetime>2019-04-09T00:00:00Z</vt:filetime>
  </property>
</Properties>
</file>