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pt;margin-top:3.78pt;width:603.4pt;height:173.65pt;mso-position-horizontal-relative:page;mso-position-vertical-relative:page;z-index:-251743232" coordorigin="60,76" coordsize="12068,3473">
            <v:shape style="position:absolute;left:3357;top:1812;width:8771;height:1737" type="#_x0000_t75" stroked="false">
              <v:imagedata r:id="rId5" o:title=""/>
            </v:shape>
            <v:shape style="position:absolute;left:60;top:75;width:12068;height:1737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3pt;margin-top:332.820007pt;width:603pt;height:105.1pt;mso-position-horizontal-relative:page;mso-position-vertical-relative:page;z-index:-251742208" coordorigin="60,6656" coordsize="12060,2102">
            <v:shape style="position:absolute;left:60;top:7021;width:12060;height:1737" type="#_x0000_t75" stroked="false">
              <v:imagedata r:id="rId7" o:title=""/>
            </v:shape>
            <v:shape style="position:absolute;left:1526;top:6656;width:9200;height:70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pt;margin-top:696pt;width:603.4pt;height:88.9pt;mso-position-horizontal-relative:page;mso-position-vertical-relative:page;z-index:251662336" coordorigin="60,13920" coordsize="12068,1778">
            <v:shape style="position:absolute;left:60;top:13966;width:12068;height:1731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17;top:13920;width:1823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General: 2.0 hours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577344">
            <wp:simplePos x="0" y="0"/>
            <wp:positionH relativeFrom="page">
              <wp:posOffset>38100</wp:posOffset>
            </wp:positionH>
            <wp:positionV relativeFrom="page">
              <wp:posOffset>6663690</wp:posOffset>
            </wp:positionV>
            <wp:extent cx="7658100" cy="1102613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102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before="90"/>
        <w:ind w:left="252" w:right="230" w:firstLine="0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The Florida Bar Alternative Dispute Resolution and Labor</w:t>
      </w:r>
      <w:r>
        <w:rPr>
          <w:rFonts w:ascii="Arial"/>
          <w:b/>
          <w:spacing w:val="-8"/>
          <w:sz w:val="31"/>
        </w:rPr>
        <w:t> </w:t>
      </w:r>
      <w:r>
        <w:rPr>
          <w:rFonts w:ascii="Arial"/>
          <w:b/>
          <w:sz w:val="31"/>
        </w:rPr>
        <w:t>and Employment Law Sections</w:t>
      </w:r>
      <w:r>
        <w:rPr>
          <w:rFonts w:ascii="Arial"/>
          <w:b/>
          <w:spacing w:val="-1"/>
          <w:sz w:val="31"/>
        </w:rPr>
        <w:t> </w:t>
      </w:r>
      <w:r>
        <w:rPr>
          <w:rFonts w:ascii="Arial"/>
          <w:b/>
          <w:sz w:val="31"/>
        </w:rPr>
        <w:t>present</w:t>
      </w:r>
    </w:p>
    <w:p>
      <w:pPr>
        <w:pStyle w:val="Heading1"/>
        <w:spacing w:before="207"/>
        <w:ind w:left="252"/>
      </w:pPr>
      <w:r>
        <w:rPr>
          <w:color w:val="498AC9"/>
        </w:rPr>
        <w:t>Mediation and Arbitration Issues</w:t>
      </w:r>
      <w:r>
        <w:rPr>
          <w:color w:val="498AC9"/>
          <w:spacing w:val="-26"/>
        </w:rPr>
        <w:t> </w:t>
      </w:r>
      <w:r>
        <w:rPr>
          <w:color w:val="498AC9"/>
        </w:rPr>
        <w:t>in Employment</w:t>
      </w:r>
      <w:r>
        <w:rPr>
          <w:color w:val="498AC9"/>
          <w:spacing w:val="-3"/>
        </w:rPr>
        <w:t> </w:t>
      </w:r>
      <w:r>
        <w:rPr>
          <w:color w:val="498AC9"/>
        </w:rPr>
        <w:t>Matters:</w:t>
      </w:r>
    </w:p>
    <w:p>
      <w:pPr>
        <w:spacing w:before="0"/>
        <w:ind w:left="250" w:right="230" w:firstLine="0"/>
        <w:jc w:val="center"/>
        <w:rPr>
          <w:rFonts w:ascii="Arial Black"/>
          <w:sz w:val="44"/>
        </w:rPr>
      </w:pPr>
      <w:r>
        <w:rPr>
          <w:rFonts w:ascii="Arial Black"/>
          <w:color w:val="498AC9"/>
          <w:sz w:val="44"/>
        </w:rPr>
        <w:t>Thinking Outside the Box</w:t>
      </w:r>
    </w:p>
    <w:p>
      <w:pPr>
        <w:pStyle w:val="Heading2"/>
        <w:spacing w:line="480" w:lineRule="auto" w:before="275"/>
        <w:ind w:left="2272" w:right="2253" w:firstLine="3"/>
      </w:pPr>
      <w:r>
        <w:rPr/>
        <w:t>Friday, June 28, 2019, 9:30 a.m. - 11:30 a.m. COURSE CLASSIFICATION: INTERMEDIATE</w:t>
      </w:r>
    </w:p>
    <w:p>
      <w:pPr>
        <w:tabs>
          <w:tab w:pos="6626" w:val="left" w:leader="none"/>
        </w:tabs>
        <w:spacing w:before="1"/>
        <w:ind w:left="12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Course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3210</w:t>
        <w:tab/>
      </w:r>
      <w:hyperlink r:id="rId10">
        <w:r>
          <w:rPr>
            <w:rFonts w:ascii="Arial"/>
            <w:b/>
            <w:sz w:val="24"/>
          </w:rPr>
          <w:t>ssvisco@floridabar.org</w:t>
        </w:r>
      </w:hyperlink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BodyText"/>
        <w:spacing w:before="52"/>
        <w:ind w:left="120"/>
      </w:pPr>
      <w:r>
        <w:rPr/>
        <w:t>This program will be a round‐table discussion with a moderator at each of the five tables. Registration is limited to 50 people.</w:t>
      </w:r>
    </w:p>
    <w:p>
      <w:pPr>
        <w:spacing w:before="161"/>
        <w:ind w:left="247" w:right="230" w:firstLine="0"/>
        <w:jc w:val="center"/>
        <w:rPr>
          <w:b/>
          <w:sz w:val="32"/>
        </w:rPr>
      </w:pPr>
      <w:r>
        <w:rPr>
          <w:b/>
          <w:sz w:val="32"/>
        </w:rPr>
        <w:t>TOPICS TO BE DISCUSSED:</w:t>
      </w:r>
    </w:p>
    <w:p>
      <w:pPr>
        <w:pStyle w:val="BodyText"/>
        <w:spacing w:before="4"/>
        <w:rPr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51" w:after="0"/>
        <w:ind w:left="840" w:right="0" w:hanging="720"/>
        <w:jc w:val="left"/>
        <w:rPr>
          <w:sz w:val="24"/>
        </w:rPr>
      </w:pPr>
      <w:r>
        <w:rPr>
          <w:i/>
          <w:sz w:val="24"/>
        </w:rPr>
        <w:t>Not just because you have to</w:t>
      </w:r>
      <w:r>
        <w:rPr>
          <w:sz w:val="24"/>
        </w:rPr>
        <w:t>… why mediation during</w:t>
      </w:r>
      <w:r>
        <w:rPr>
          <w:spacing w:val="-8"/>
          <w:sz w:val="24"/>
        </w:rPr>
        <w:t> </w:t>
      </w:r>
      <w:r>
        <w:rPr>
          <w:sz w:val="24"/>
        </w:rPr>
        <w:t>litigation?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4" w:after="0"/>
        <w:ind w:left="840" w:right="0" w:hanging="721"/>
        <w:jc w:val="left"/>
        <w:rPr>
          <w:sz w:val="24"/>
        </w:rPr>
      </w:pPr>
      <w:r>
        <w:rPr>
          <w:sz w:val="24"/>
        </w:rPr>
        <w:t>Mediation before litigation: does it work or is it just a tactic for free</w:t>
      </w:r>
      <w:r>
        <w:rPr>
          <w:spacing w:val="-14"/>
          <w:sz w:val="24"/>
        </w:rPr>
        <w:t> </w:t>
      </w:r>
      <w:r>
        <w:rPr>
          <w:sz w:val="24"/>
        </w:rPr>
        <w:t>discovery?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1103" w:hanging="720"/>
        <w:jc w:val="left"/>
        <w:rPr>
          <w:sz w:val="24"/>
        </w:rPr>
      </w:pPr>
      <w:r>
        <w:rPr>
          <w:sz w:val="24"/>
        </w:rPr>
        <w:t>Viewpoints on arbitration post </w:t>
      </w:r>
      <w:r>
        <w:rPr>
          <w:i/>
          <w:sz w:val="24"/>
        </w:rPr>
        <w:t>SCOTUS </w:t>
      </w:r>
      <w:r>
        <w:rPr>
          <w:sz w:val="24"/>
        </w:rPr>
        <w:t>decision affirming the enforceability</w:t>
      </w:r>
      <w:r>
        <w:rPr>
          <w:spacing w:val="-29"/>
          <w:sz w:val="24"/>
        </w:rPr>
        <w:t> </w:t>
      </w:r>
      <w:r>
        <w:rPr>
          <w:sz w:val="24"/>
        </w:rPr>
        <w:t>of arbitration</w:t>
      </w:r>
      <w:r>
        <w:rPr>
          <w:spacing w:val="-2"/>
          <w:sz w:val="24"/>
        </w:rPr>
        <w:t> </w:t>
      </w:r>
      <w:r>
        <w:rPr>
          <w:sz w:val="24"/>
        </w:rPr>
        <w:t>clauses.</w:t>
      </w:r>
    </w:p>
    <w:p>
      <w:pPr>
        <w:pStyle w:val="BodyText"/>
        <w:spacing w:before="4"/>
      </w:pPr>
    </w:p>
    <w:p>
      <w:pPr>
        <w:pStyle w:val="Heading2"/>
        <w:ind w:left="249"/>
        <w:rPr>
          <w:rFonts w:ascii="Calibri"/>
        </w:rPr>
      </w:pPr>
      <w:r>
        <w:rPr>
          <w:rFonts w:ascii="Calibri"/>
        </w:rPr>
        <w:t>FACILITATOR</w:t>
      </w:r>
    </w:p>
    <w:p>
      <w:pPr>
        <w:spacing w:before="1"/>
        <w:ind w:left="248" w:right="230" w:firstLine="0"/>
        <w:jc w:val="center"/>
        <w:rPr>
          <w:i/>
          <w:sz w:val="24"/>
        </w:rPr>
      </w:pPr>
      <w:r>
        <w:rPr>
          <w:i/>
          <w:sz w:val="24"/>
        </w:rPr>
        <w:t>Lori Adelson, Adelson Law &amp; Mediation, Fort Lauderdale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52"/>
        <w:ind w:left="251"/>
        <w:rPr>
          <w:rFonts w:ascii="Calibri"/>
        </w:rPr>
      </w:pPr>
      <w:r>
        <w:rPr>
          <w:rFonts w:ascii="Calibri"/>
        </w:rPr>
        <w:t>ROUND TABLE MODERATORS</w:t>
      </w:r>
    </w:p>
    <w:p>
      <w:pPr>
        <w:spacing w:before="0"/>
        <w:ind w:left="1909" w:right="1887" w:hanging="1"/>
        <w:jc w:val="center"/>
        <w:rPr>
          <w:i/>
          <w:sz w:val="24"/>
        </w:rPr>
      </w:pPr>
      <w:r>
        <w:rPr>
          <w:i/>
          <w:sz w:val="24"/>
        </w:rPr>
        <w:t>Judge David Lee Brannon, Southern District of Florida </w:t>
      </w:r>
      <w:r>
        <w:rPr>
          <w:i/>
          <w:sz w:val="24"/>
        </w:rPr>
        <w:t>Marlene Quintana, Gray‐Robinson Attorneys at Law, Miami Karen Evans, Litigation Resolution Inc., Miami</w:t>
      </w:r>
    </w:p>
    <w:p>
      <w:pPr>
        <w:spacing w:before="0"/>
        <w:ind w:left="2458" w:right="2439" w:firstLine="0"/>
        <w:jc w:val="center"/>
        <w:rPr>
          <w:i/>
          <w:sz w:val="24"/>
        </w:rPr>
      </w:pPr>
      <w:r>
        <w:rPr>
          <w:i/>
          <w:sz w:val="24"/>
        </w:rPr>
        <w:t>Kimberly Gilmour, Gilmour Law, Fort Lauderdale </w:t>
      </w:r>
      <w:r>
        <w:rPr>
          <w:i/>
          <w:sz w:val="24"/>
        </w:rPr>
        <w:t>Robyn Hankins, Robyn S. Hankins, PL. Jupiter</w:t>
      </w:r>
    </w:p>
    <w:p>
      <w:pPr>
        <w:pStyle w:val="BodyText"/>
        <w:spacing w:before="12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172037</wp:posOffset>
            </wp:positionV>
            <wp:extent cx="5858256" cy="445007"/>
            <wp:effectExtent l="0" t="0" r="0" b="0"/>
            <wp:wrapTopAndBottom/>
            <wp:docPr id="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256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80" w:bottom="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4" w:hanging="72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8" w:hanging="72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2" w:hanging="7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6" w:hanging="7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4" w:hanging="7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58" w:hanging="7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2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50" w:right="230"/>
      <w:jc w:val="center"/>
      <w:outlineLvl w:val="1"/>
    </w:pPr>
    <w:rPr>
      <w:rFonts w:ascii="Arial Black" w:hAnsi="Arial Black" w:eastAsia="Arial Black" w:cs="Arial Black"/>
      <w:sz w:val="44"/>
      <w:szCs w:val="4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20" w:right="230"/>
      <w:jc w:val="center"/>
      <w:outlineLvl w:val="2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40" w:hanging="72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mailto:ssvisco@floridabar.org" TargetMode="External"/><Relationship Id="rId11" Type="http://schemas.openxmlformats.org/officeDocument/2006/relationships/image" Target="media/image6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Svisco</dc:creator>
  <dc:title> 3210 - Mediation &amp; Arbitration </dc:title>
  <dcterms:created xsi:type="dcterms:W3CDTF">2019-05-16T13:45:36Z</dcterms:created>
  <dcterms:modified xsi:type="dcterms:W3CDTF">2019-05-16T13:45:36Z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2019-05-16T00:00:00Z</vt:filetime>
  </property>
</Properties>
</file>